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D8" w:rsidRDefault="004E659D" w:rsidP="004E659D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E659D">
        <w:rPr>
          <w:rFonts w:ascii="Times New Roman" w:hAnsi="Times New Roman"/>
          <w:b/>
          <w:bCs/>
          <w:iCs/>
          <w:sz w:val="24"/>
          <w:szCs w:val="24"/>
        </w:rPr>
        <w:t xml:space="preserve">Основные требования к  помещению кабинета  маникюра. </w:t>
      </w:r>
    </w:p>
    <w:p w:rsidR="00E87826" w:rsidRDefault="003A7365" w:rsidP="00C208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gramStart"/>
      <w:r>
        <w:rPr>
          <w:color w:val="000000"/>
        </w:rPr>
        <w:t>В своей работе мастер маникюра и педикюра руководствуется СанПиН      2.1.2.2631-10 «</w:t>
      </w:r>
      <w:r w:rsidRPr="003A7365">
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</w:r>
      <w:r>
        <w:t xml:space="preserve">, утвержденными </w:t>
      </w:r>
      <w:hyperlink w:anchor="sub_0" w:history="1">
        <w:r w:rsidRPr="003A7365">
          <w:t>постановлением</w:t>
        </w:r>
      </w:hyperlink>
      <w:r w:rsidRPr="003A7365">
        <w:t xml:space="preserve"> Главного государственного врача РФ от 18 мая 2010 г. N 59 и введенным в действие  с 01.08.2010 г. (с изменениями и дополнениями от 27.01.2014 г.)</w:t>
      </w:r>
      <w:r>
        <w:t>.</w:t>
      </w:r>
      <w:proofErr w:type="gramEnd"/>
    </w:p>
    <w:p w:rsidR="003A7365" w:rsidRPr="003A7365" w:rsidRDefault="003A7365" w:rsidP="003A7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sub_1332"/>
      <w:r w:rsidRPr="003A7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В помещении организаций коммунально-бытового назначения, оказывающих парикмахерские и косметические услуги, должно быть выделено помещение, либо специальное место для дезинфекции, </w:t>
      </w:r>
      <w:proofErr w:type="spellStart"/>
      <w:r w:rsidRPr="003A73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предстерилизационной</w:t>
      </w:r>
      <w:proofErr w:type="spellEnd"/>
      <w:r w:rsidRPr="003A7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очистки и стерилизации инструментов, оборудованное раковиной с подводкой горячей и холодной воды.</w:t>
      </w:r>
    </w:p>
    <w:p w:rsidR="003A7365" w:rsidRPr="003A7365" w:rsidRDefault="003A7365" w:rsidP="003A7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_1333"/>
      <w:bookmarkEnd w:id="0"/>
      <w:r w:rsidRPr="003A7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Кабинеты - косметический, педикюра, массажа, солярий, пирсинга, </w:t>
      </w:r>
      <w:proofErr w:type="spellStart"/>
      <w:r w:rsidRPr="003A7365">
        <w:rPr>
          <w:rFonts w:ascii="Times New Roman" w:eastAsia="Times New Roman" w:hAnsi="Times New Roman" w:cs="Times New Roman"/>
          <w:color w:val="000000"/>
          <w:sz w:val="24"/>
          <w:szCs w:val="24"/>
        </w:rPr>
        <w:t>татуажа</w:t>
      </w:r>
      <w:proofErr w:type="spellEnd"/>
      <w:r w:rsidRPr="003A7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должны размещаться в отдельных помещениях.</w:t>
      </w:r>
    </w:p>
    <w:p w:rsidR="003A7365" w:rsidRDefault="003A7365" w:rsidP="003A7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sub_1334"/>
      <w:bookmarkEnd w:id="1"/>
      <w:r w:rsidRPr="003A7365">
        <w:rPr>
          <w:rFonts w:ascii="Times New Roman" w:eastAsia="Times New Roman" w:hAnsi="Times New Roman" w:cs="Times New Roman"/>
          <w:color w:val="000000"/>
          <w:sz w:val="24"/>
          <w:szCs w:val="24"/>
        </w:rPr>
        <w:t>3.4. Допускается размещение отдельных рабочих мест для маникюра в помещениях общественных зданий, в том числе торговых центров, при соблюдении гигиенических требований к воздухообмену помещений и параметров микроклимата.</w:t>
      </w:r>
    </w:p>
    <w:bookmarkEnd w:id="2"/>
    <w:p w:rsidR="003A7365" w:rsidRPr="003A7365" w:rsidRDefault="003A7365" w:rsidP="003A7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365">
        <w:rPr>
          <w:rFonts w:ascii="Times New Roman" w:eastAsia="Times New Roman" w:hAnsi="Times New Roman" w:cs="Times New Roman"/>
          <w:color w:val="000000"/>
          <w:sz w:val="24"/>
          <w:szCs w:val="24"/>
        </w:rPr>
        <w:t>3.5. Допускается совмещение в одном изолированном кабинете выполнения услуг маникюра и педикюра при условии организации одного рабочего места мастера маникюра и педикюра.</w:t>
      </w:r>
    </w:p>
    <w:p w:rsidR="003A7365" w:rsidRPr="003A7365" w:rsidRDefault="003A7365" w:rsidP="003A7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365">
        <w:rPr>
          <w:rFonts w:ascii="Times New Roman" w:eastAsia="Times New Roman" w:hAnsi="Times New Roman" w:cs="Times New Roman"/>
          <w:color w:val="000000"/>
          <w:sz w:val="24"/>
          <w:szCs w:val="24"/>
        </w:rPr>
        <w:t>3.6. В педикюрных кабинетах должно быть не менее 2-х ванн для ног с подводкой горячей и холодной воды и отдельная раковина для мытья рук. Допускается наличие одной ванны с использованием одноразовых вкладышей. Для педикюрных кабинетов, оказывающих услуги только аппаратного педикюра, по технологии не предусматривающего использование воды, обязательная установка ванн для ног не требуется.</w:t>
      </w:r>
    </w:p>
    <w:p w:rsidR="003A7365" w:rsidRDefault="003A7365" w:rsidP="003A73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3A7365">
        <w:rPr>
          <w:color w:val="000000"/>
        </w:rPr>
        <w:t>3.8. Рабочие места оборудуются мебелью, позволяющей проводить обработку моющими и дезинфицирующими средствами.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ub_1552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Поверхности стен, потолков и полов, наружная и внутренняя поверхность мебели должны быть гладкими, </w:t>
      </w:r>
      <w:proofErr w:type="gram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 доступными</w:t>
      </w:r>
      <w:proofErr w:type="gram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влажной уборки и устойчивыми к обработке дезинфицирующими средствами.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sub_1553"/>
      <w:bookmarkEnd w:id="3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Покрытие полов в организациях коммунально-бытового назначения, оказывающих парикмахерские и косметические услуги, в том числе солярия (линолеум, метлахская,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керамо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-гранитная плитка, дощатые (окрашенные), паркетные полы и другие), должно быть гладким и позволяющим проводить влажную уборку с использованием моющих и дезинфицирующих средств.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sub_1776"/>
      <w:bookmarkEnd w:id="4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7.6. Рабочее место мастера по наращиванию ногтей оборудуется местной принудительной вытяжной вентиляцией.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sub_1883"/>
      <w:bookmarkEnd w:id="5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8.3. На всех рабочих местах маникюрных и педикюрных кабинетов, кабинетов декоративной косметики должно быть предусмотрено комбинированное освещение (общее и местное). На рабочих местах в помещениях парикмахерских допускается применение общего освещения.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sub_1992"/>
      <w:bookmarkEnd w:id="6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В целях проведения профилактической дезинфекции,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предстерилизационной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очистки и стерилизации должны применяться физические методы и/или химические дезинфекционные средства, прошедшие государственную регистрацию в установленном порядке.</w:t>
      </w:r>
    </w:p>
    <w:bookmarkEnd w:id="7"/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манипуляции, которые могут привести к повреждению кожных покровов и слизистых оболочек, осуществляются с применением стерильных инструментов и материалов. Изделия многократного применения перед стерилизацией подлежат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предстерилизационной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очистке.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Разрешается применение дезинфекционных средств, дезинфекционного и стерилизационного оборудования, имеющих документы, подтверждающие в установленном порядке безопасность используемой продукции.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sub_1994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9.4. Влажная уборка помещений (протирка полов, мебели, оборудования, подоконников, дверей) должна осуществляться не менее двух раз в день (в том числе, по окончании работы) с использованием моющих и дезинфицирующих средств или средств, обладающих одновременно моющим и дезинфицирующим действием.</w:t>
      </w:r>
    </w:p>
    <w:bookmarkEnd w:id="8"/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уборки основных и вспомогательных помещений, а также санузлов должен быть выделен отдельный уборочный инвентарь. Уборочный инвентарь (ведра, тазы, ветошь, швабры) маркируют с указанием помещений и видов уборочных работ, используют строго по назначению, обрабатывают и хранят в специально выделенном помещении (или шкафчике). По окончании уборки инвентарь обрабатывают моющими и дезинфицирующими средствами и просушивают.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sub_1995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9.5. Не реже одного раза в неделю во всех помещениях должна быть проведена генеральная уборка в соответствии с графиком, утвержденным администрацией. Во время генеральной уборки моют и обрабатывают дезинфицирующими растворами стены, пол, плинтусы, двери, окна, мебель и оборудование.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sub_1999"/>
      <w:bookmarkEnd w:id="9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9.9. Для предупреждения распространения парентеральных гепатитов, ВИЧ-инфекции, туберкулеза, грибковых заболеваний и других инфекций проводится дезинфекция и стерилизация применяемых изделий и инструментов.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sub_19911"/>
      <w:bookmarkEnd w:id="10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9.11. После каждого клиента использованное белье подлежит стирке, а при необходимости и дезинфекции (при угрозе распространения инфекционных и паразитарных заболеваний), а одноразовое - удалению (утилизации).</w:t>
      </w:r>
    </w:p>
    <w:bookmarkEnd w:id="11"/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9.18. Подушка, подкладываемая под ногу при проведении педикюра, должна иметь клеенчатый чехол, который после каждого использования протирается ветошью, смоченной дезинфицирующим раствором, в концентрации и с экспозицией, применяемой для дезинфекции при грибковых заболеваниях. Допускается использование одноразовых чехлов.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sub_19919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9.19. Ванны для ног и ванночки для рук после каждого клиента должны подвергаться дезинфекции </w:t>
      </w:r>
      <w:proofErr w:type="gram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полном погружении в дезинфицирующий раствор в соответствии с инструкцией по применению</w:t>
      </w:r>
      <w:proofErr w:type="gram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используемого средства по режиму, применяемому при грибковых заболеваниях.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sub_19920"/>
      <w:bookmarkEnd w:id="12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9.20. При выполнении маникюра и педикюра должны использоваться одноразовые непромокаемые салфетки для каждого посетителя, которые после использования подлежат дезинфекции и удалению (утилизации).</w:t>
      </w:r>
    </w:p>
    <w:bookmarkEnd w:id="13"/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9.21. Для парикмахерских залов и кабинетов для маникюра, педикюра, пирсинга,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пилинга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татуажа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, косметических услуг должен быть определен минимальный набор типовых инструментов, либо сменных одноразовых элементов инструмента для обслуживания одного клиента. На одно рабочее место следует иметь не менее трех таких наборов.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sub_19922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9.22. Инструменты для маникюра, педикюра,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татуажа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пирсинга,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пилинга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марлевые салфетки, ватные шарики, а также другие расходные материалы стерилизуют в стерилизаторах, упакованными в </w:t>
      </w:r>
      <w:proofErr w:type="gram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стерилизационные упаковочные материалы, разрешенные к применению в установленном порядке и в них же хранят</w:t>
      </w:r>
      <w:proofErr w:type="gram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. Допускается стерилизация инструментов в неупакованном виде при условии, что они будут использованы в течение часа или храниться в стерилизаторах.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sub_19924"/>
      <w:bookmarkEnd w:id="14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9.24. Инструменты, используемые для манипуляций, при которых возможно повреждение кожных покровов или слизистых оболочек (маникюр, педикюр,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татуаж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пирсинг,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пилинг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косметические услуги) после каждого клиента без предварительного промывания водой помещают в дезинфицирующий раствор. Дезинфекцию осуществляют по режиму, применяемому при вирусных гепатитах. После окончания дезинфекции инструменты подвергают </w:t>
      </w:r>
      <w:proofErr w:type="spellStart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предстерилизационной</w:t>
      </w:r>
      <w:proofErr w:type="spellEnd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очистке и стерилизации.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sub_19928"/>
      <w:bookmarkEnd w:id="15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9.28. Емкости с рабочими растворами средств должны быть снабжены крышками, иметь четкие надписи с указанием названия средства, его концентрации, назначения, даты </w:t>
      </w: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приготовления рабочего раствора. В целях профилактики профессиональных заболеваний кожи, глаз и верхних дыхательных путей у работников необходимо:</w:t>
      </w:r>
    </w:p>
    <w:bookmarkEnd w:id="16"/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централизованное приготовление рабочих дезинфицирующих растворов в специальных помещениях с механической или естественной приточно-вытяжной вентиляцией (при наличии отдельного помещения), либо в специально оборудованном месте;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насыпать сухие дезинфицирующие средства в специальные емкости с постепенным добавлением воды;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максимально использовать исходные дезинфицирующие препараты в мелкой расфасовке;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плотно закрывать крышками емкости с рабочими дезинфицирующими растворами. Все работы с ними выполнять в резиновых перчатках;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неукоснительно соблюдать мероприятия по безопасности труда в соответствии с инструкцией на применяемое дезинфицирующее средство и с использованием средств индивидуальной защиты.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9.30. С целью профилактики заражения парентеральными гепатитами и ВИЧ-инфекцией все манипуляции, при которых может произойти загрязнение рук кровью, следует проводить в резиновых перчатках. Во время работы все повреждения кожных покровов должны быть изолированы напальчниками, лейкопластырем.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sub_199302"/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личной профилактики работники должны быть обеспечены медицинской аптечкой.</w:t>
      </w:r>
    </w:p>
    <w:bookmarkEnd w:id="17"/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обязаны соблюдать следующие правила личной гигиены: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 началом и после окончания обслуживания клиента тщательно мыть руки мылом;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в косметических кабинетах для обработки рук применять кожные антисептики, разрешенные к использованию в установленном порядке;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уход за кожей рук, используя защитные и смягчающие кремы, лосьоны;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окраску волос в резиновых перчатках;</w:t>
      </w:r>
    </w:p>
    <w:p w:rsidR="00D902B1" w:rsidRPr="00D902B1" w:rsidRDefault="00D902B1" w:rsidP="00D9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2B1">
        <w:rPr>
          <w:rFonts w:ascii="Times New Roman" w:eastAsia="Times New Roman" w:hAnsi="Times New Roman" w:cs="Times New Roman"/>
          <w:color w:val="000000"/>
          <w:sz w:val="24"/>
          <w:szCs w:val="24"/>
        </w:rPr>
        <w:t>- не курить и не принимать пищу на рабочем месте.</w:t>
      </w:r>
    </w:p>
    <w:p w:rsidR="009250A9" w:rsidRDefault="009250A9" w:rsidP="00E73E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Cs/>
        </w:rPr>
      </w:pPr>
    </w:p>
    <w:p w:rsidR="009250A9" w:rsidRDefault="009250A9" w:rsidP="00E73E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>ЗАДАНИЕ:</w:t>
      </w:r>
    </w:p>
    <w:p w:rsidR="009250A9" w:rsidRDefault="009250A9" w:rsidP="009250A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</w:rPr>
      </w:pPr>
      <w:r>
        <w:rPr>
          <w:b/>
          <w:bCs/>
          <w:iCs/>
        </w:rPr>
        <w:t>В тетрадях записать конспект.</w:t>
      </w:r>
    </w:p>
    <w:p w:rsidR="009250A9" w:rsidRDefault="009250A9" w:rsidP="009250A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</w:rPr>
      </w:pPr>
      <w:r>
        <w:rPr>
          <w:b/>
          <w:bCs/>
          <w:iCs/>
        </w:rPr>
        <w:t>Составить карту приготовления дезинфицирующих средств</w:t>
      </w:r>
      <w:bookmarkStart w:id="18" w:name="_GoBack"/>
      <w:bookmarkEnd w:id="18"/>
      <w:r>
        <w:rPr>
          <w:b/>
          <w:bCs/>
          <w:iCs/>
        </w:rPr>
        <w:t>.</w:t>
      </w:r>
    </w:p>
    <w:sectPr w:rsidR="009250A9" w:rsidSect="009C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4DCA"/>
    <w:multiLevelType w:val="multilevel"/>
    <w:tmpl w:val="E22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C55D8"/>
    <w:multiLevelType w:val="multilevel"/>
    <w:tmpl w:val="FE0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632255"/>
    <w:multiLevelType w:val="multilevel"/>
    <w:tmpl w:val="AF44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E07E7"/>
    <w:multiLevelType w:val="hybridMultilevel"/>
    <w:tmpl w:val="96F6E0AA"/>
    <w:lvl w:ilvl="0" w:tplc="44140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9D"/>
    <w:rsid w:val="001C0495"/>
    <w:rsid w:val="003879ED"/>
    <w:rsid w:val="003A7365"/>
    <w:rsid w:val="003E316D"/>
    <w:rsid w:val="004E659D"/>
    <w:rsid w:val="00753305"/>
    <w:rsid w:val="009250A9"/>
    <w:rsid w:val="009C76D3"/>
    <w:rsid w:val="009F1E49"/>
    <w:rsid w:val="00BC3E54"/>
    <w:rsid w:val="00C208A7"/>
    <w:rsid w:val="00D902B1"/>
    <w:rsid w:val="00D941D9"/>
    <w:rsid w:val="00E73E84"/>
    <w:rsid w:val="00E87826"/>
    <w:rsid w:val="00E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A73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3A7365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A736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5">
    <w:name w:val="Комментарий"/>
    <w:basedOn w:val="a"/>
    <w:next w:val="a"/>
    <w:uiPriority w:val="99"/>
    <w:rsid w:val="003A736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6">
    <w:name w:val="Информация о версии"/>
    <w:basedOn w:val="a5"/>
    <w:next w:val="a"/>
    <w:uiPriority w:val="99"/>
    <w:rsid w:val="003A7365"/>
    <w:rPr>
      <w:i/>
      <w:iCs/>
    </w:rPr>
  </w:style>
  <w:style w:type="character" w:styleId="a7">
    <w:name w:val="Hyperlink"/>
    <w:basedOn w:val="a0"/>
    <w:uiPriority w:val="99"/>
    <w:semiHidden/>
    <w:unhideWhenUsed/>
    <w:rsid w:val="00BC3E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A73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3A7365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A736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5">
    <w:name w:val="Комментарий"/>
    <w:basedOn w:val="a"/>
    <w:next w:val="a"/>
    <w:uiPriority w:val="99"/>
    <w:rsid w:val="003A736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6">
    <w:name w:val="Информация о версии"/>
    <w:basedOn w:val="a5"/>
    <w:next w:val="a"/>
    <w:uiPriority w:val="99"/>
    <w:rsid w:val="003A7365"/>
    <w:rPr>
      <w:i/>
      <w:iCs/>
    </w:rPr>
  </w:style>
  <w:style w:type="character" w:styleId="a7">
    <w:name w:val="Hyperlink"/>
    <w:basedOn w:val="a0"/>
    <w:uiPriority w:val="99"/>
    <w:semiHidden/>
    <w:unhideWhenUsed/>
    <w:rsid w:val="00BC3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4</cp:revision>
  <dcterms:created xsi:type="dcterms:W3CDTF">2025-09-12T00:53:00Z</dcterms:created>
  <dcterms:modified xsi:type="dcterms:W3CDTF">2025-09-12T00:59:00Z</dcterms:modified>
</cp:coreProperties>
</file>