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399A" w14:textId="1F232963" w:rsidR="00FE7539" w:rsidRDefault="00EA1645" w:rsidP="00EA1645">
      <w:pPr>
        <w:jc w:val="center"/>
        <w:rPr>
          <w:rFonts w:cstheme="minorHAnsi"/>
          <w:sz w:val="28"/>
          <w:szCs w:val="28"/>
        </w:rPr>
      </w:pPr>
      <w:r w:rsidRPr="00EA1645">
        <w:rPr>
          <w:rFonts w:cstheme="minorHAnsi"/>
          <w:sz w:val="28"/>
          <w:szCs w:val="28"/>
        </w:rPr>
        <w:t>Тема 12</w:t>
      </w:r>
      <w:r>
        <w:rPr>
          <w:rFonts w:cstheme="minorHAnsi"/>
          <w:sz w:val="28"/>
          <w:szCs w:val="28"/>
        </w:rPr>
        <w:t>.</w:t>
      </w:r>
      <w:r w:rsidRPr="00EA1645">
        <w:rPr>
          <w:rFonts w:cstheme="minorHAnsi"/>
          <w:sz w:val="28"/>
          <w:szCs w:val="28"/>
        </w:rPr>
        <w:t xml:space="preserve"> </w:t>
      </w:r>
      <w:r w:rsidRPr="00EA1645">
        <w:rPr>
          <w:rFonts w:cstheme="minorHAnsi"/>
          <w:sz w:val="28"/>
          <w:szCs w:val="28"/>
        </w:rPr>
        <w:t>Определение скорости детонации, работоспособности, бризантности, передачи детонации на расстояние для заряда ВВ</w:t>
      </w:r>
      <w:r>
        <w:rPr>
          <w:rFonts w:cstheme="minorHAnsi"/>
          <w:sz w:val="28"/>
          <w:szCs w:val="28"/>
        </w:rPr>
        <w:t>.</w:t>
      </w:r>
    </w:p>
    <w:p w14:paraId="082638D9" w14:textId="77777777" w:rsidR="0099208E" w:rsidRDefault="0099208E" w:rsidP="0099208E">
      <w:pPr>
        <w:jc w:val="both"/>
        <w:rPr>
          <w:rFonts w:cstheme="minorHAnsi"/>
          <w:sz w:val="28"/>
          <w:szCs w:val="28"/>
        </w:rPr>
      </w:pPr>
      <w:r w:rsidRPr="0099208E">
        <w:rPr>
          <w:rFonts w:cstheme="minorHAnsi"/>
          <w:b/>
          <w:bCs/>
          <w:sz w:val="28"/>
          <w:szCs w:val="28"/>
        </w:rPr>
        <w:t>Определение скорости детонации. </w:t>
      </w:r>
      <w:r w:rsidRPr="0099208E">
        <w:rPr>
          <w:rFonts w:cstheme="minorHAnsi"/>
          <w:sz w:val="28"/>
          <w:szCs w:val="28"/>
        </w:rPr>
        <w:t>Наиболее простой метод опре</w:t>
      </w:r>
      <w:r w:rsidRPr="0099208E">
        <w:rPr>
          <w:rFonts w:cstheme="minorHAnsi"/>
          <w:sz w:val="28"/>
          <w:szCs w:val="28"/>
        </w:rPr>
        <w:softHyphen/>
        <w:t>деления скорости детонации основан на сравнении известной ско</w:t>
      </w:r>
      <w:r w:rsidRPr="0099208E">
        <w:rPr>
          <w:rFonts w:cstheme="minorHAnsi"/>
          <w:sz w:val="28"/>
          <w:szCs w:val="28"/>
        </w:rPr>
        <w:softHyphen/>
        <w:t>рост</w:t>
      </w:r>
      <w:r>
        <w:rPr>
          <w:rFonts w:cstheme="minorHAnsi"/>
          <w:sz w:val="28"/>
          <w:szCs w:val="28"/>
        </w:rPr>
        <w:t>и</w:t>
      </w:r>
      <w:r w:rsidRPr="0099208E">
        <w:rPr>
          <w:rFonts w:cstheme="minorHAnsi"/>
          <w:sz w:val="28"/>
          <w:szCs w:val="28"/>
        </w:rPr>
        <w:t xml:space="preserve"> детонации детонирующего шнура со скоростью детонации испытуемого заряда (метод </w:t>
      </w:r>
      <w:proofErr w:type="spellStart"/>
      <w:r w:rsidRPr="0099208E">
        <w:rPr>
          <w:rFonts w:cstheme="minorHAnsi"/>
          <w:sz w:val="28"/>
          <w:szCs w:val="28"/>
        </w:rPr>
        <w:t>Дотриша</w:t>
      </w:r>
      <w:proofErr w:type="spellEnd"/>
      <w:r w:rsidRPr="0099208E">
        <w:rPr>
          <w:rFonts w:cstheme="minorHAnsi"/>
          <w:sz w:val="28"/>
          <w:szCs w:val="28"/>
        </w:rPr>
        <w:t>). При взрыве детонация распространяется вдоль по заряду и по обеим ветвям детонирующего шнура. В месте встречи детонацион</w:t>
      </w:r>
      <w:r w:rsidRPr="0099208E">
        <w:rPr>
          <w:rFonts w:cstheme="minorHAnsi"/>
          <w:sz w:val="28"/>
          <w:szCs w:val="28"/>
        </w:rPr>
        <w:softHyphen/>
        <w:t>ны</w:t>
      </w:r>
      <w:r>
        <w:rPr>
          <w:rFonts w:cstheme="minorHAnsi"/>
          <w:sz w:val="28"/>
          <w:szCs w:val="28"/>
        </w:rPr>
        <w:t>х</w:t>
      </w:r>
      <w:r w:rsidRPr="0099208E">
        <w:rPr>
          <w:rFonts w:cstheme="minorHAnsi"/>
          <w:sz w:val="28"/>
          <w:szCs w:val="28"/>
        </w:rPr>
        <w:t xml:space="preserve"> волн на пластинке обра</w:t>
      </w:r>
      <w:r>
        <w:rPr>
          <w:rFonts w:cstheme="minorHAnsi"/>
          <w:sz w:val="28"/>
          <w:szCs w:val="28"/>
        </w:rPr>
        <w:t xml:space="preserve">зуется углубление. Расчет скорости детонации производиться исходя из равенства времени распространения детонационных вол по обеим ветвям шнура до места встречи. </w:t>
      </w:r>
    </w:p>
    <w:p w14:paraId="04D1EB63" w14:textId="3367D88B" w:rsidR="0099208E" w:rsidRPr="0099208E" w:rsidRDefault="0099208E" w:rsidP="0099208E">
      <w:pPr>
        <w:jc w:val="both"/>
        <w:rPr>
          <w:rFonts w:cstheme="minorHAnsi"/>
          <w:sz w:val="28"/>
          <w:szCs w:val="28"/>
        </w:rPr>
      </w:pPr>
      <w:r w:rsidRPr="0099208E">
        <w:rPr>
          <w:rFonts w:cstheme="minorHAnsi"/>
          <w:sz w:val="28"/>
          <w:szCs w:val="28"/>
        </w:rPr>
        <w:t>В зависимости от цели испытаний заряд ВВ может быть в порошко</w:t>
      </w:r>
      <w:r w:rsidRPr="0099208E">
        <w:rPr>
          <w:rFonts w:cstheme="minorHAnsi"/>
          <w:sz w:val="28"/>
          <w:szCs w:val="28"/>
        </w:rPr>
        <w:softHyphen/>
        <w:t>образном или прессованном виде с требуемой плотностью. Точность определения скорости детонации по этому методу ± (3 —</w:t>
      </w:r>
      <w:r w:rsidR="003756F1" w:rsidRPr="0099208E">
        <w:rPr>
          <w:rFonts w:cstheme="minorHAnsi"/>
          <w:sz w:val="28"/>
          <w:szCs w:val="28"/>
        </w:rPr>
        <w:t>5) %</w:t>
      </w:r>
      <w:r w:rsidRPr="0099208E">
        <w:rPr>
          <w:rFonts w:cstheme="minorHAnsi"/>
          <w:sz w:val="28"/>
          <w:szCs w:val="28"/>
        </w:rPr>
        <w:t>.</w:t>
      </w:r>
    </w:p>
    <w:p w14:paraId="63DC40B9" w14:textId="130085F1" w:rsidR="0099208E" w:rsidRPr="0099208E" w:rsidRDefault="0099208E" w:rsidP="0099208E">
      <w:pPr>
        <w:jc w:val="both"/>
        <w:rPr>
          <w:rFonts w:cstheme="minorHAnsi"/>
          <w:sz w:val="28"/>
          <w:szCs w:val="28"/>
        </w:rPr>
      </w:pPr>
      <w:r w:rsidRPr="0099208E">
        <w:rPr>
          <w:rFonts w:cstheme="minorHAnsi"/>
          <w:sz w:val="28"/>
          <w:szCs w:val="28"/>
        </w:rPr>
        <w:t>Точные методы определения скорости детонации основаны на фиксации электронным осциллографом или высокоточным секундо</w:t>
      </w:r>
      <w:r w:rsidRPr="0099208E">
        <w:rPr>
          <w:rFonts w:cstheme="minorHAnsi"/>
          <w:sz w:val="28"/>
          <w:szCs w:val="28"/>
        </w:rPr>
        <w:softHyphen/>
        <w:t>мером времени прохождения детонационной волной фиксирован</w:t>
      </w:r>
      <w:r w:rsidRPr="0099208E">
        <w:rPr>
          <w:rFonts w:cstheme="minorHAnsi"/>
          <w:sz w:val="28"/>
          <w:szCs w:val="28"/>
        </w:rPr>
        <w:softHyphen/>
      </w:r>
      <w:r>
        <w:rPr>
          <w:rFonts w:cstheme="minorHAnsi"/>
          <w:sz w:val="28"/>
          <w:szCs w:val="28"/>
        </w:rPr>
        <w:t>н</w:t>
      </w:r>
      <w:r w:rsidRPr="0099208E">
        <w:rPr>
          <w:rFonts w:cstheme="minorHAnsi"/>
          <w:sz w:val="28"/>
          <w:szCs w:val="28"/>
        </w:rPr>
        <w:t xml:space="preserve">ого расстояния по заряду или на дешифровке скоростной киносъемки свечения детонирующего заряда. </w:t>
      </w:r>
    </w:p>
    <w:p w14:paraId="6250CF23" w14:textId="77777777" w:rsidR="003756F1" w:rsidRDefault="003756F1" w:rsidP="003756F1">
      <w:pPr>
        <w:jc w:val="both"/>
        <w:rPr>
          <w:rFonts w:cstheme="minorHAnsi"/>
          <w:sz w:val="28"/>
          <w:szCs w:val="28"/>
        </w:rPr>
      </w:pPr>
      <w:r w:rsidRPr="003756F1">
        <w:rPr>
          <w:rFonts w:cstheme="minorHAnsi"/>
          <w:b/>
          <w:bCs/>
          <w:sz w:val="28"/>
          <w:szCs w:val="28"/>
        </w:rPr>
        <w:t>Определение бризантности ВВ</w:t>
      </w:r>
      <w:r>
        <w:rPr>
          <w:rFonts w:cstheme="minorHAnsi"/>
          <w:sz w:val="28"/>
          <w:szCs w:val="28"/>
        </w:rPr>
        <w:t xml:space="preserve">. </w:t>
      </w:r>
      <w:r w:rsidRPr="003756F1">
        <w:rPr>
          <w:rFonts w:cstheme="minorHAnsi"/>
          <w:sz w:val="28"/>
          <w:szCs w:val="28"/>
        </w:rPr>
        <w:t>По характеру действия взрыва ВВ на массив принято различать бризант</w:t>
      </w:r>
      <w:r>
        <w:rPr>
          <w:rFonts w:cstheme="minorHAnsi"/>
          <w:sz w:val="28"/>
          <w:szCs w:val="28"/>
        </w:rPr>
        <w:t>ное</w:t>
      </w:r>
      <w:r w:rsidRPr="003756F1">
        <w:rPr>
          <w:rFonts w:cstheme="minorHAnsi"/>
          <w:sz w:val="28"/>
          <w:szCs w:val="28"/>
        </w:rPr>
        <w:t xml:space="preserve"> (дробящее) и фугасное (общее) действие. </w:t>
      </w:r>
    </w:p>
    <w:p w14:paraId="40E7DEA5" w14:textId="77777777" w:rsidR="003756F1" w:rsidRDefault="003756F1" w:rsidP="003756F1">
      <w:pPr>
        <w:jc w:val="both"/>
        <w:rPr>
          <w:rFonts w:cstheme="minorHAnsi"/>
          <w:sz w:val="28"/>
          <w:szCs w:val="28"/>
        </w:rPr>
      </w:pPr>
      <w:r w:rsidRPr="003756F1">
        <w:rPr>
          <w:rFonts w:cstheme="minorHAnsi"/>
          <w:sz w:val="28"/>
          <w:szCs w:val="28"/>
        </w:rPr>
        <w:t>К</w:t>
      </w:r>
      <w:r w:rsidRPr="003756F1">
        <w:rPr>
          <w:rFonts w:cstheme="minorHAnsi"/>
          <w:b/>
          <w:bCs/>
          <w:sz w:val="28"/>
          <w:szCs w:val="28"/>
        </w:rPr>
        <w:t xml:space="preserve"> бризантным</w:t>
      </w:r>
      <w:r w:rsidRPr="003756F1">
        <w:rPr>
          <w:rFonts w:cstheme="minorHAnsi"/>
          <w:sz w:val="28"/>
          <w:szCs w:val="28"/>
        </w:rPr>
        <w:t xml:space="preserve"> формам работы взрыва относится измельчение породы на контакте и в непосредственной от заряда. Эта работа пропорциональна плотности ВВ и квадрату</w:t>
      </w:r>
      <w:r>
        <w:rPr>
          <w:rFonts w:cstheme="minorHAnsi"/>
          <w:sz w:val="28"/>
          <w:szCs w:val="28"/>
        </w:rPr>
        <w:t xml:space="preserve">. </w:t>
      </w:r>
    </w:p>
    <w:p w14:paraId="6DC93E64" w14:textId="673A414C" w:rsidR="003756F1" w:rsidRDefault="003756F1" w:rsidP="003756F1">
      <w:pPr>
        <w:jc w:val="both"/>
        <w:rPr>
          <w:rFonts w:cstheme="minorHAnsi"/>
          <w:sz w:val="28"/>
          <w:szCs w:val="28"/>
        </w:rPr>
      </w:pPr>
      <w:r w:rsidRPr="003756F1">
        <w:rPr>
          <w:rFonts w:cstheme="minorHAnsi"/>
          <w:sz w:val="28"/>
          <w:szCs w:val="28"/>
        </w:rPr>
        <w:t>Для оценки бризантного действия ВВ применяется проба на бризантность на свинцовых цилиндрах (метод Гесса) или проба на дробящее действие взрыва на породных образцах. служат для лабораторной сравнительной оценки ВВ</w:t>
      </w:r>
      <w:r>
        <w:rPr>
          <w:rFonts w:cstheme="minorHAnsi"/>
          <w:sz w:val="28"/>
          <w:szCs w:val="28"/>
        </w:rPr>
        <w:t>.</w:t>
      </w:r>
    </w:p>
    <w:p w14:paraId="20A14E01" w14:textId="77777777" w:rsidR="003756F1" w:rsidRDefault="003756F1" w:rsidP="003756F1">
      <w:pPr>
        <w:jc w:val="both"/>
        <w:rPr>
          <w:rFonts w:cstheme="minorHAnsi"/>
          <w:sz w:val="28"/>
          <w:szCs w:val="28"/>
        </w:rPr>
      </w:pPr>
      <w:r w:rsidRPr="003756F1">
        <w:rPr>
          <w:rFonts w:cstheme="minorHAnsi"/>
          <w:sz w:val="28"/>
          <w:szCs w:val="28"/>
        </w:rPr>
        <w:t xml:space="preserve"> К </w:t>
      </w:r>
      <w:r w:rsidRPr="003756F1">
        <w:rPr>
          <w:rFonts w:cstheme="minorHAnsi"/>
          <w:b/>
          <w:bCs/>
          <w:sz w:val="28"/>
          <w:szCs w:val="28"/>
        </w:rPr>
        <w:t>фугасным</w:t>
      </w:r>
      <w:r w:rsidRPr="003756F1">
        <w:rPr>
          <w:rFonts w:cstheme="minorHAnsi"/>
          <w:sz w:val="28"/>
          <w:szCs w:val="28"/>
        </w:rPr>
        <w:t xml:space="preserve"> формам работы взрыва относятся разрушение породы на большем расстоянии от заряда (за пределами бризантного действия), движение породы при взрыве. Это действие взрыва проявляется в объеме, в сотни и тысячи раз превышающем объем заряда. Величина фугасной формы работы взрыва пропорциональна общей энергии ВВ или его работоспособности. </w:t>
      </w:r>
    </w:p>
    <w:p w14:paraId="525A220B" w14:textId="77777777" w:rsidR="003756F1" w:rsidRDefault="003756F1" w:rsidP="003756F1">
      <w:pPr>
        <w:jc w:val="both"/>
        <w:rPr>
          <w:rFonts w:cstheme="minorHAnsi"/>
          <w:sz w:val="28"/>
          <w:szCs w:val="28"/>
        </w:rPr>
      </w:pPr>
      <w:r w:rsidRPr="003756F1">
        <w:rPr>
          <w:rFonts w:cstheme="minorHAnsi"/>
          <w:sz w:val="28"/>
          <w:szCs w:val="28"/>
        </w:rPr>
        <w:t xml:space="preserve">Для оценки фугасной работы взрыва применяется определение работоспособности в свинцовой бомбе (метод </w:t>
      </w:r>
      <w:proofErr w:type="spellStart"/>
      <w:r w:rsidRPr="003756F1">
        <w:rPr>
          <w:rFonts w:cstheme="minorHAnsi"/>
          <w:sz w:val="28"/>
          <w:szCs w:val="28"/>
        </w:rPr>
        <w:t>Трауцля</w:t>
      </w:r>
      <w:proofErr w:type="spellEnd"/>
      <w:r w:rsidRPr="003756F1">
        <w:rPr>
          <w:rFonts w:cstheme="minorHAnsi"/>
          <w:sz w:val="28"/>
          <w:szCs w:val="28"/>
        </w:rPr>
        <w:t>), на</w:t>
      </w:r>
      <w:r w:rsidRPr="003756F1">
        <w:rPr>
          <w:rFonts w:cstheme="minorHAnsi"/>
          <w:sz w:val="28"/>
          <w:szCs w:val="28"/>
        </w:rPr>
        <w:t xml:space="preserve"> </w:t>
      </w:r>
      <w:r w:rsidRPr="003756F1">
        <w:rPr>
          <w:rFonts w:cstheme="minorHAnsi"/>
          <w:sz w:val="28"/>
          <w:szCs w:val="28"/>
        </w:rPr>
        <w:t xml:space="preserve">баллистической мортире, на баллистическом маятнике, по воронке выброса. Результаты сравнительных испытаний ВВ на баллистической мортире используются в США и </w:t>
      </w:r>
      <w:r w:rsidRPr="003756F1">
        <w:rPr>
          <w:rFonts w:cstheme="minorHAnsi"/>
          <w:sz w:val="28"/>
          <w:szCs w:val="28"/>
        </w:rPr>
        <w:lastRenderedPageBreak/>
        <w:t xml:space="preserve">в других странах для определения переводных коэффициентов при расчете удельных расходов различных ВВ. Для этого на мортире подбирают величину заряда </w:t>
      </w:r>
      <w:proofErr w:type="spellStart"/>
      <w:r w:rsidRPr="003756F1">
        <w:rPr>
          <w:rFonts w:cstheme="minorHAnsi"/>
          <w:sz w:val="28"/>
          <w:szCs w:val="28"/>
        </w:rPr>
        <w:t>Qc</w:t>
      </w:r>
      <w:proofErr w:type="spellEnd"/>
      <w:r w:rsidRPr="003756F1">
        <w:rPr>
          <w:rFonts w:cstheme="minorHAnsi"/>
          <w:sz w:val="28"/>
          <w:szCs w:val="28"/>
        </w:rPr>
        <w:t xml:space="preserve"> применяемого ВВ, который дает такое же отклонение мортиры, как заряд </w:t>
      </w:r>
      <w:proofErr w:type="spellStart"/>
      <w:r w:rsidRPr="003756F1">
        <w:rPr>
          <w:rFonts w:cstheme="minorHAnsi"/>
          <w:sz w:val="28"/>
          <w:szCs w:val="28"/>
        </w:rPr>
        <w:t>Qo</w:t>
      </w:r>
      <w:proofErr w:type="spellEnd"/>
      <w:r w:rsidRPr="003756F1">
        <w:rPr>
          <w:rFonts w:cstheme="minorHAnsi"/>
          <w:sz w:val="28"/>
          <w:szCs w:val="28"/>
        </w:rPr>
        <w:t xml:space="preserve"> стандартного ВВ. Поправочный коэффициент на расход ВВ равен </w:t>
      </w:r>
      <w:proofErr w:type="spellStart"/>
      <w:r w:rsidRPr="003756F1">
        <w:rPr>
          <w:rFonts w:cstheme="minorHAnsi"/>
          <w:sz w:val="28"/>
          <w:szCs w:val="28"/>
        </w:rPr>
        <w:t>Qx</w:t>
      </w:r>
      <w:proofErr w:type="spellEnd"/>
      <w:r w:rsidRPr="003756F1">
        <w:rPr>
          <w:rFonts w:cstheme="minorHAnsi"/>
          <w:sz w:val="28"/>
          <w:szCs w:val="28"/>
        </w:rPr>
        <w:t>/</w:t>
      </w:r>
      <w:proofErr w:type="spellStart"/>
      <w:r w:rsidRPr="003756F1">
        <w:rPr>
          <w:rFonts w:cstheme="minorHAnsi"/>
          <w:sz w:val="28"/>
          <w:szCs w:val="28"/>
        </w:rPr>
        <w:t>Ro</w:t>
      </w:r>
      <w:proofErr w:type="spellEnd"/>
      <w:r w:rsidRPr="003756F1">
        <w:rPr>
          <w:rFonts w:cstheme="minorHAnsi"/>
          <w:sz w:val="28"/>
          <w:szCs w:val="28"/>
        </w:rPr>
        <w:t>.</w:t>
      </w:r>
    </w:p>
    <w:p w14:paraId="4763A543" w14:textId="72FC66EB" w:rsidR="003756F1" w:rsidRPr="003756F1" w:rsidRDefault="003756F1" w:rsidP="003756F1">
      <w:pPr>
        <w:jc w:val="both"/>
        <w:rPr>
          <w:rFonts w:cstheme="minorHAnsi"/>
          <w:b/>
          <w:bCs/>
          <w:sz w:val="28"/>
          <w:szCs w:val="28"/>
        </w:rPr>
      </w:pPr>
      <w:r w:rsidRPr="003756F1">
        <w:rPr>
          <w:rFonts w:cstheme="minorHAnsi"/>
          <w:sz w:val="28"/>
          <w:szCs w:val="28"/>
        </w:rPr>
        <w:t xml:space="preserve"> Определение бризантности по методу Гесса выполняют на цилиндре из рафинированного свинца высотой 60 мм и диаметром 40 мм, на который помещают стальную пластинку толщиной 10 мм и диаметром 41 мм и заряд массой 50 г в бумажном патроне диаметром 40 мм при плотности р ~ 1 г/см"; в заряде делается отверстие под капсюль-детонатор глубиной 15 </w:t>
      </w:r>
      <w:proofErr w:type="spellStart"/>
      <w:r w:rsidRPr="003756F1">
        <w:rPr>
          <w:rFonts w:cstheme="minorHAnsi"/>
          <w:sz w:val="28"/>
          <w:szCs w:val="28"/>
        </w:rPr>
        <w:t>мм</w:t>
      </w:r>
      <w:r w:rsidR="00627648">
        <w:rPr>
          <w:rFonts w:cstheme="minorHAnsi"/>
          <w:sz w:val="28"/>
          <w:szCs w:val="28"/>
        </w:rPr>
        <w:t>.</w:t>
      </w:r>
      <w:r w:rsidRPr="003756F1">
        <w:rPr>
          <w:rFonts w:cstheme="minorHAnsi"/>
          <w:sz w:val="28"/>
          <w:szCs w:val="28"/>
        </w:rPr>
        <w:t>Свинцовый</w:t>
      </w:r>
      <w:proofErr w:type="spellEnd"/>
      <w:r w:rsidRPr="003756F1">
        <w:rPr>
          <w:rFonts w:cstheme="minorHAnsi"/>
          <w:sz w:val="28"/>
          <w:szCs w:val="28"/>
        </w:rPr>
        <w:t xml:space="preserve"> цилиндр с пластиной и зарядом располагают на массивной стальной подставке. При взрыве свинцовый цилиндр деформируется, приобретая грибообразную форму. Бризантность оценивается разностью средних высот до и после взрыва в миллиметрах, измеренных в четырех диаметрально противоположных точках цилиндра. Метод Гесса применяется только в качестве контрольного или приемочного на заводах-изготовителях. Для определения бризантности грубодисперсных и гранулированных ВВ, у которых критический диаметр открытого заряда больше 40 мм, его размещают в стальном кольце. Получаемые при таких испытаниях результаты несравнимы с результатами, полученными при взрыве открытых зарядов. Для наиболее мощных ВВ (гексоген, ТЭН) при определении бризантности применяют заряды массой 25 г, так как заряд 50 г со стандартными. </w:t>
      </w:r>
    </w:p>
    <w:p w14:paraId="72ACDE56" w14:textId="13FF2DA0" w:rsidR="00627648" w:rsidRDefault="00627648" w:rsidP="00EA1645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b/>
          <w:bCs/>
          <w:sz w:val="28"/>
          <w:szCs w:val="28"/>
        </w:rPr>
        <w:t>Определение работоспособно</w:t>
      </w:r>
      <w:r w:rsidRPr="00627648">
        <w:rPr>
          <w:rFonts w:cstheme="minorHAnsi"/>
          <w:b/>
          <w:bCs/>
          <w:sz w:val="28"/>
          <w:szCs w:val="28"/>
        </w:rPr>
        <w:t>с</w:t>
      </w:r>
      <w:r w:rsidRPr="00627648">
        <w:rPr>
          <w:rFonts w:cstheme="minorHAnsi"/>
          <w:b/>
          <w:bCs/>
          <w:sz w:val="28"/>
          <w:szCs w:val="28"/>
        </w:rPr>
        <w:t>ти ВВ в свинцовой бомбе и на породных образцах</w:t>
      </w:r>
      <w:r w:rsidRPr="00627648">
        <w:rPr>
          <w:rFonts w:cstheme="minorHAnsi"/>
          <w:sz w:val="28"/>
          <w:szCs w:val="28"/>
        </w:rPr>
        <w:t xml:space="preserve">. Бомба </w:t>
      </w:r>
      <w:proofErr w:type="spellStart"/>
      <w:r w:rsidRPr="00627648">
        <w:rPr>
          <w:rFonts w:cstheme="minorHAnsi"/>
          <w:sz w:val="28"/>
          <w:szCs w:val="28"/>
        </w:rPr>
        <w:t>Трауцля</w:t>
      </w:r>
      <w:proofErr w:type="spellEnd"/>
      <w:r w:rsidRPr="00627648">
        <w:rPr>
          <w:rFonts w:cstheme="minorHAnsi"/>
          <w:sz w:val="28"/>
          <w:szCs w:val="28"/>
        </w:rPr>
        <w:t xml:space="preserve"> в виде цилиндра высотой 200 мм и диаметром 200 мм изготавливается рафинированного свинца, имеет отверстие диаметром 25 мм и глубиной 125 мм для помещения заряда ВВ массой 10 г с электродетонатором</w:t>
      </w:r>
      <w:r>
        <w:rPr>
          <w:rFonts w:cstheme="minorHAnsi"/>
          <w:sz w:val="28"/>
          <w:szCs w:val="28"/>
        </w:rPr>
        <w:t xml:space="preserve">. </w:t>
      </w:r>
      <w:r w:rsidRPr="00627648">
        <w:rPr>
          <w:rFonts w:cstheme="minorHAnsi"/>
          <w:sz w:val="28"/>
          <w:szCs w:val="28"/>
        </w:rPr>
        <w:t>Забойка песчаная. После взрыва</w:t>
      </w:r>
      <w:r>
        <w:rPr>
          <w:rFonts w:cstheme="minorHAnsi"/>
          <w:sz w:val="28"/>
          <w:szCs w:val="28"/>
        </w:rPr>
        <w:t xml:space="preserve"> в бомбе образуется раздутие , величина которого за вычетом объема отверстия (61-62 см</w:t>
      </w:r>
      <w:r>
        <w:rPr>
          <w:rFonts w:cstheme="minorHAnsi"/>
          <w:sz w:val="28"/>
          <w:szCs w:val="28"/>
          <w:vertAlign w:val="superscript"/>
        </w:rPr>
        <w:t>3</w:t>
      </w:r>
      <w:r>
        <w:rPr>
          <w:rFonts w:cstheme="minorHAnsi"/>
          <w:sz w:val="28"/>
          <w:szCs w:val="28"/>
        </w:rPr>
        <w:t>)и расширения произво</w:t>
      </w:r>
      <w:r w:rsidRPr="00627648">
        <w:rPr>
          <w:rFonts w:cstheme="minorHAnsi"/>
          <w:sz w:val="28"/>
          <w:szCs w:val="28"/>
        </w:rPr>
        <w:t xml:space="preserve">димого электродетонатором (~30 см"), и является мерой </w:t>
      </w:r>
      <w:r w:rsidRPr="00627648">
        <w:rPr>
          <w:rFonts w:cstheme="minorHAnsi"/>
          <w:sz w:val="28"/>
          <w:szCs w:val="28"/>
        </w:rPr>
        <w:t>относительной</w:t>
      </w:r>
      <w:r w:rsidRPr="0062764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работоспособности ВВ.</w:t>
      </w:r>
      <w:r w:rsidRPr="00627648">
        <w:rPr>
          <w:rFonts w:cstheme="minorHAnsi"/>
          <w:sz w:val="28"/>
          <w:szCs w:val="28"/>
        </w:rPr>
        <w:t xml:space="preserve"> </w:t>
      </w:r>
    </w:p>
    <w:p w14:paraId="075BFDC2" w14:textId="3163BC8E" w:rsidR="00EA1645" w:rsidRDefault="00627648" w:rsidP="00EA1645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b/>
          <w:bCs/>
          <w:sz w:val="28"/>
          <w:szCs w:val="28"/>
        </w:rPr>
        <w:t>Определение работоспособности ВВ в баллистической мортире</w:t>
      </w:r>
      <w:r>
        <w:rPr>
          <w:rFonts w:cstheme="minorHAnsi"/>
          <w:sz w:val="28"/>
          <w:szCs w:val="28"/>
        </w:rPr>
        <w:t xml:space="preserve">. </w:t>
      </w:r>
      <w:r w:rsidRPr="00627648">
        <w:rPr>
          <w:rFonts w:cstheme="minorHAnsi"/>
          <w:sz w:val="28"/>
          <w:szCs w:val="28"/>
        </w:rPr>
        <w:t xml:space="preserve">Баллистическая мортира представляет собой массивный цилиндр, подвешенный на тягах в виде маятника. В корпусе имеются взрывная камера, в которой подрывается заряд (обычно величиной 10 г), и расширительная камера, в которой помещается массивный поршень-снаряд. При взрыве поршень-снаряд выбрасывается из мортиры, а сама мортира отклоняется на некоторый угол, фиксируемый специальным устройством. По углу отклонения мортиры оценивается </w:t>
      </w:r>
      <w:r w:rsidRPr="00627648">
        <w:rPr>
          <w:rFonts w:cstheme="minorHAnsi"/>
          <w:sz w:val="28"/>
          <w:szCs w:val="28"/>
        </w:rPr>
        <w:lastRenderedPageBreak/>
        <w:t>эффективность ВВ. За стандарт принимается отклонение мортиры зарядом тротила массой 10 г. Для сравнительной оценки другого ВВ определяют заряд, вызывающий такое же отклонение мортиры.</w:t>
      </w:r>
    </w:p>
    <w:p w14:paraId="1B007EA1" w14:textId="77777777" w:rsidR="00627648" w:rsidRPr="00627648" w:rsidRDefault="00627648" w:rsidP="00627648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b/>
          <w:bCs/>
          <w:sz w:val="28"/>
          <w:szCs w:val="28"/>
        </w:rPr>
        <w:t>Передача детонации на расстояние. </w:t>
      </w:r>
      <w:r w:rsidRPr="00627648">
        <w:rPr>
          <w:rFonts w:cstheme="minorHAnsi"/>
          <w:sz w:val="28"/>
          <w:szCs w:val="28"/>
        </w:rPr>
        <w:t>Детонационная волна на границе заряда вызывает в окружающей среде (например, в воздухе) ударную волну. Вблизи места взрыва – на протяжении 7…14 радиусов заряда </w:t>
      </w:r>
      <w:proofErr w:type="spellStart"/>
      <w:r w:rsidRPr="00627648">
        <w:rPr>
          <w:rFonts w:cstheme="minorHAnsi"/>
          <w:i/>
          <w:iCs/>
          <w:sz w:val="28"/>
          <w:szCs w:val="28"/>
        </w:rPr>
        <w:t>r</w:t>
      </w:r>
      <w:r w:rsidRPr="00627648">
        <w:rPr>
          <w:rFonts w:cstheme="minorHAnsi"/>
          <w:sz w:val="28"/>
          <w:szCs w:val="28"/>
          <w:vertAlign w:val="subscript"/>
        </w:rPr>
        <w:t>зар</w:t>
      </w:r>
      <w:proofErr w:type="spellEnd"/>
      <w:r w:rsidRPr="00627648">
        <w:rPr>
          <w:rFonts w:cstheme="minorHAnsi"/>
          <w:sz w:val="28"/>
          <w:szCs w:val="28"/>
        </w:rPr>
        <w:t> вместе с воздушной ударной волной движутся продукты взрыва, плотность которых в 20 раз выше плотности воздуха на фронте ударной волны. Они оказывают значительно большее динамическое действие на преграду, чем ударная волна. На расстоянии 14...20</w:t>
      </w:r>
      <w:r w:rsidRPr="00627648">
        <w:rPr>
          <w:rFonts w:cstheme="minorHAnsi"/>
          <w:i/>
          <w:iCs/>
          <w:sz w:val="28"/>
          <w:szCs w:val="28"/>
        </w:rPr>
        <w:t>r</w:t>
      </w:r>
      <w:r w:rsidRPr="00627648">
        <w:rPr>
          <w:rFonts w:cstheme="minorHAnsi"/>
          <w:sz w:val="28"/>
          <w:szCs w:val="28"/>
          <w:vertAlign w:val="subscript"/>
        </w:rPr>
        <w:t>зар</w:t>
      </w:r>
      <w:r w:rsidRPr="00627648">
        <w:rPr>
          <w:rFonts w:cstheme="minorHAnsi"/>
          <w:sz w:val="28"/>
          <w:szCs w:val="28"/>
        </w:rPr>
        <w:t> продукты взрыва вследствие рассеивания и отставания от воздушной ударной волны оказывают примерно одинаковое с последней действие. На расстоянии 20</w:t>
      </w:r>
      <w:r w:rsidRPr="00627648">
        <w:rPr>
          <w:rFonts w:cstheme="minorHAnsi"/>
          <w:i/>
          <w:iCs/>
          <w:sz w:val="28"/>
          <w:szCs w:val="28"/>
        </w:rPr>
        <w:t>r</w:t>
      </w:r>
      <w:r w:rsidRPr="00627648">
        <w:rPr>
          <w:rFonts w:cstheme="minorHAnsi"/>
          <w:sz w:val="28"/>
          <w:szCs w:val="28"/>
          <w:vertAlign w:val="subscript"/>
        </w:rPr>
        <w:t>зар</w:t>
      </w:r>
      <w:r w:rsidRPr="00627648">
        <w:rPr>
          <w:rFonts w:cstheme="minorHAnsi"/>
          <w:sz w:val="28"/>
          <w:szCs w:val="28"/>
        </w:rPr>
        <w:t> разрушительный эффект обусловливается только действием ударной волны.</w:t>
      </w:r>
    </w:p>
    <w:p w14:paraId="7D06AE57" w14:textId="385BDDAF" w:rsidR="00627648" w:rsidRPr="00627648" w:rsidRDefault="00627648" w:rsidP="00627648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sz w:val="28"/>
          <w:szCs w:val="28"/>
        </w:rPr>
        <w:t>П</w:t>
      </w:r>
      <w:r w:rsidRPr="00627648">
        <w:rPr>
          <w:rFonts w:cstheme="minorHAnsi"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52F839BB" wp14:editId="36A893F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95450" cy="3267075"/>
            <wp:effectExtent l="0" t="0" r="0" b="9525"/>
            <wp:wrapSquare wrapText="bothSides"/>
            <wp:docPr id="13535016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648">
        <w:rPr>
          <w:rFonts w:cstheme="minorHAnsi"/>
          <w:sz w:val="28"/>
          <w:szCs w:val="28"/>
        </w:rPr>
        <w:t>родукт</w:t>
      </w:r>
      <w:r>
        <w:rPr>
          <w:rFonts w:cstheme="minorHAnsi"/>
          <w:sz w:val="28"/>
          <w:szCs w:val="28"/>
        </w:rPr>
        <w:t>ы</w:t>
      </w:r>
      <w:r w:rsidRPr="00627648">
        <w:rPr>
          <w:rFonts w:cstheme="minorHAnsi"/>
          <w:sz w:val="28"/>
          <w:szCs w:val="28"/>
        </w:rPr>
        <w:t xml:space="preserve"> взрыва заряда ВВ и ударная волна в воздухе могут вызвать взрыв второго близко расположенного патрона ВВ. Такой взрыв называется </w:t>
      </w:r>
      <w:r w:rsidRPr="00627648">
        <w:rPr>
          <w:rFonts w:cstheme="minorHAnsi"/>
          <w:i/>
          <w:iCs/>
          <w:sz w:val="28"/>
          <w:szCs w:val="28"/>
        </w:rPr>
        <w:t>взрывом через влияние </w:t>
      </w:r>
      <w:r w:rsidRPr="00627648">
        <w:rPr>
          <w:rFonts w:cstheme="minorHAnsi"/>
          <w:sz w:val="28"/>
          <w:szCs w:val="28"/>
        </w:rPr>
        <w:t>или передачей детонации на расстояние (рис. 2.18). Первый патрон называется </w:t>
      </w:r>
      <w:r w:rsidRPr="00627648">
        <w:rPr>
          <w:rFonts w:cstheme="minorHAnsi"/>
          <w:i/>
          <w:iCs/>
          <w:sz w:val="28"/>
          <w:szCs w:val="28"/>
        </w:rPr>
        <w:t>активным</w:t>
      </w:r>
      <w:r w:rsidRPr="00627648">
        <w:rPr>
          <w:rFonts w:cstheme="minorHAnsi"/>
          <w:sz w:val="28"/>
          <w:szCs w:val="28"/>
        </w:rPr>
        <w:t>, второй –</w:t>
      </w:r>
      <w:r w:rsidRPr="00627648">
        <w:rPr>
          <w:rFonts w:cstheme="minorHAnsi"/>
          <w:i/>
          <w:iCs/>
          <w:sz w:val="28"/>
          <w:szCs w:val="28"/>
        </w:rPr>
        <w:t> пассивным</w:t>
      </w:r>
      <w:r w:rsidRPr="00627648">
        <w:rPr>
          <w:rFonts w:cstheme="minorHAnsi"/>
          <w:sz w:val="28"/>
          <w:szCs w:val="28"/>
        </w:rPr>
        <w:t>.</w:t>
      </w:r>
    </w:p>
    <w:p w14:paraId="045B473B" w14:textId="37544410" w:rsidR="00627648" w:rsidRPr="00627648" w:rsidRDefault="00627648" w:rsidP="00627648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sz w:val="28"/>
          <w:szCs w:val="28"/>
        </w:rPr>
        <w:t>Дальность передачи детонации возрастает: с увеличением мощности и плотности ВВ активного патрона; с уменьшением плотности и повышением чувствительности пассивного; с увеличением диаметра активного и пассивного патронов. Дальность передачи зависит т</w:t>
      </w:r>
      <w:r w:rsidRPr="00627648">
        <w:rPr>
          <w:rFonts w:cstheme="minorHAnsi"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17CBAA81" wp14:editId="014DC28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562100" cy="1676400"/>
            <wp:effectExtent l="0" t="0" r="0" b="0"/>
            <wp:wrapSquare wrapText="bothSides"/>
            <wp:docPr id="187669095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648">
        <w:rPr>
          <w:rFonts w:cstheme="minorHAnsi"/>
          <w:sz w:val="28"/>
          <w:szCs w:val="28"/>
        </w:rPr>
        <w:t>акже от плотности и упругости среды, в которой распространяется ударная волна: чем больше упругость и меньше плотность среды, тем дальше передается детонация. Она хорошо передается через воздух, несколько хуже - через воду, ещё хуже – через дерево, глину, песок, горную породу.</w:t>
      </w:r>
    </w:p>
    <w:p w14:paraId="3CC84D38" w14:textId="77777777" w:rsidR="00627648" w:rsidRPr="00627648" w:rsidRDefault="00627648" w:rsidP="00627648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sz w:val="28"/>
          <w:szCs w:val="28"/>
        </w:rPr>
        <w:t xml:space="preserve">У прессованных и пластичных ВВ дальность передачи детонации меньшая, чем у порошкообразных. Сенсибилизированные </w:t>
      </w:r>
      <w:proofErr w:type="spellStart"/>
      <w:r w:rsidRPr="00627648">
        <w:rPr>
          <w:rFonts w:cstheme="minorHAnsi"/>
          <w:sz w:val="28"/>
          <w:szCs w:val="28"/>
        </w:rPr>
        <w:t>нитроэфирами</w:t>
      </w:r>
      <w:proofErr w:type="spellEnd"/>
      <w:r w:rsidRPr="00627648">
        <w:rPr>
          <w:rFonts w:cstheme="minorHAnsi"/>
          <w:sz w:val="28"/>
          <w:szCs w:val="28"/>
        </w:rPr>
        <w:t xml:space="preserve"> ВВ имеют большую передачу детонации, чем аммиачно-селитренные. В шпурах (и при канализации детонационной волны) детонация передаётся на расстояние в 2…4 раза большее, чем на открытом воздухе.</w:t>
      </w:r>
    </w:p>
    <w:p w14:paraId="6B472C51" w14:textId="77777777" w:rsidR="00627648" w:rsidRPr="00627648" w:rsidRDefault="00627648" w:rsidP="00627648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sz w:val="28"/>
          <w:szCs w:val="28"/>
        </w:rPr>
        <w:lastRenderedPageBreak/>
        <w:t>Способность ВВ к передаче детонации на расстояние проверяют следующим способом: укладывают на твёрдый грунт соосно два патрона ВВ на некотором расстоянии один от другого. В торец одного патрона вставляют электродетонатор так, чтобы детонационная волна была направлена в сторону пассивного соседнего. О полной детонации патронов судят по углублениям в грунте на месте их расположения и по отсутствию остатков ВВ или оболочки: должны образоваться два углубления, каждое длиной не менее длин патронов.</w:t>
      </w:r>
    </w:p>
    <w:p w14:paraId="247C0A80" w14:textId="77777777" w:rsidR="00627648" w:rsidRPr="00627648" w:rsidRDefault="00627648" w:rsidP="00627648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sz w:val="28"/>
          <w:szCs w:val="28"/>
        </w:rPr>
        <w:t>При трёх параллельных опытах не должно быть отказа или неполной детонации. В случае неполной детонации при расстоянии между патронами, установленному ГОСТом или ТУ, производят повторное испытание. Если будет хотя бы один случай неполной детонации, вся партия ВВ бракуется.</w:t>
      </w:r>
    </w:p>
    <w:p w14:paraId="45AB99B4" w14:textId="77777777" w:rsidR="00627648" w:rsidRPr="00627648" w:rsidRDefault="00627648" w:rsidP="00627648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sz w:val="28"/>
          <w:szCs w:val="28"/>
        </w:rPr>
        <w:t>Патроны водоустойчивых ВВ перед испытанием погружают в воду в вертикальном положении на глубину 1 м (от нижнего торца) на 1 ч.</w:t>
      </w:r>
    </w:p>
    <w:p w14:paraId="633479FC" w14:textId="77777777" w:rsidR="00627648" w:rsidRPr="00627648" w:rsidRDefault="00627648" w:rsidP="00627648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sz w:val="28"/>
          <w:szCs w:val="28"/>
        </w:rPr>
        <w:t>Безопасные расстояния, на которые не передается детонация, важно знать при оценке детонационной способности ВВ в целях создания условий для полной детонации зарядов, а также безопасных условий при хранении и транспортировании ВВ.</w:t>
      </w:r>
    </w:p>
    <w:p w14:paraId="6F38B274" w14:textId="77777777" w:rsidR="00627648" w:rsidRPr="00627648" w:rsidRDefault="00627648" w:rsidP="00627648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sz w:val="28"/>
          <w:szCs w:val="28"/>
        </w:rPr>
        <w:t xml:space="preserve">Минимальное безопасное расстояние, м, по передаче детонации от центра активного до поверхности пассивного хранилища ВМ рассчитывают по формуле </w:t>
      </w:r>
      <w:proofErr w:type="spellStart"/>
      <w:r w:rsidRPr="00627648">
        <w:rPr>
          <w:rFonts w:cstheme="minorHAnsi"/>
          <w:sz w:val="28"/>
          <w:szCs w:val="28"/>
        </w:rPr>
        <w:t>М.А.Садовского</w:t>
      </w:r>
      <w:proofErr w:type="spellEnd"/>
    </w:p>
    <w:p w14:paraId="6D22FA48" w14:textId="594F523E" w:rsidR="00627648" w:rsidRPr="00627648" w:rsidRDefault="00627648" w:rsidP="00627648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sz w:val="28"/>
          <w:szCs w:val="28"/>
        </w:rPr>
        <w:drawing>
          <wp:inline distT="0" distB="0" distL="0" distR="0" wp14:anchorId="7B58DC18" wp14:editId="1CBB5241">
            <wp:extent cx="1112520" cy="220980"/>
            <wp:effectExtent l="0" t="0" r="0" b="7620"/>
            <wp:docPr id="204397774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648">
        <w:rPr>
          <w:rFonts w:cstheme="minorHAnsi"/>
          <w:sz w:val="28"/>
          <w:szCs w:val="28"/>
        </w:rPr>
        <w:t> , (2.23)</w:t>
      </w:r>
    </w:p>
    <w:p w14:paraId="71E89CF5" w14:textId="77777777" w:rsidR="00627648" w:rsidRPr="00627648" w:rsidRDefault="00627648" w:rsidP="00627648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sz w:val="28"/>
          <w:szCs w:val="28"/>
        </w:rPr>
        <w:t>где </w:t>
      </w:r>
      <w:r w:rsidRPr="00627648">
        <w:rPr>
          <w:rFonts w:cstheme="minorHAnsi"/>
          <w:i/>
          <w:iCs/>
          <w:sz w:val="28"/>
          <w:szCs w:val="28"/>
        </w:rPr>
        <w:t>К</w:t>
      </w:r>
      <w:r w:rsidRPr="00627648">
        <w:rPr>
          <w:rFonts w:cstheme="minorHAnsi"/>
          <w:sz w:val="28"/>
          <w:szCs w:val="28"/>
          <w:vertAlign w:val="subscript"/>
        </w:rPr>
        <w:t>б </w:t>
      </w:r>
      <w:r w:rsidRPr="00627648">
        <w:rPr>
          <w:rFonts w:cstheme="minorHAnsi"/>
          <w:sz w:val="28"/>
          <w:szCs w:val="28"/>
        </w:rPr>
        <w:t>– коэффициент, зависящий от вида ВВ и условий взрывания и (принимается по табл. 9 ЕПБ, для ВВ аммиачно-селитренных </w:t>
      </w:r>
      <w:r w:rsidRPr="00627648">
        <w:rPr>
          <w:rFonts w:cstheme="minorHAnsi"/>
          <w:i/>
          <w:iCs/>
          <w:sz w:val="28"/>
          <w:szCs w:val="28"/>
        </w:rPr>
        <w:t>К</w:t>
      </w:r>
      <w:r w:rsidRPr="00627648">
        <w:rPr>
          <w:rFonts w:cstheme="minorHAnsi"/>
          <w:sz w:val="28"/>
          <w:szCs w:val="28"/>
          <w:vertAlign w:val="subscript"/>
        </w:rPr>
        <w:t>б</w:t>
      </w:r>
      <w:r w:rsidRPr="00627648">
        <w:rPr>
          <w:rFonts w:cstheme="minorHAnsi"/>
          <w:sz w:val="28"/>
          <w:szCs w:val="28"/>
        </w:rPr>
        <w:t xml:space="preserve">=0,65 при </w:t>
      </w:r>
      <w:proofErr w:type="spellStart"/>
      <w:r w:rsidRPr="00627648">
        <w:rPr>
          <w:rFonts w:cstheme="minorHAnsi"/>
          <w:sz w:val="28"/>
          <w:szCs w:val="28"/>
        </w:rPr>
        <w:t>необвалованных</w:t>
      </w:r>
      <w:proofErr w:type="spellEnd"/>
      <w:r w:rsidRPr="00627648">
        <w:rPr>
          <w:rFonts w:cstheme="minorHAnsi"/>
          <w:sz w:val="28"/>
          <w:szCs w:val="28"/>
        </w:rPr>
        <w:t xml:space="preserve"> хранилищах и 0,25 – при обвалованных; для тротила – соответственно 1,5 и 0,65).</w:t>
      </w:r>
    </w:p>
    <w:p w14:paraId="03DA4623" w14:textId="77777777" w:rsidR="00627648" w:rsidRPr="00627648" w:rsidRDefault="00627648" w:rsidP="00627648">
      <w:pPr>
        <w:jc w:val="both"/>
        <w:rPr>
          <w:rFonts w:cstheme="minorHAnsi"/>
          <w:sz w:val="28"/>
          <w:szCs w:val="28"/>
        </w:rPr>
      </w:pPr>
      <w:proofErr w:type="spellStart"/>
      <w:r w:rsidRPr="00627648">
        <w:rPr>
          <w:rFonts w:cstheme="minorHAnsi"/>
          <w:i/>
          <w:iCs/>
          <w:sz w:val="28"/>
          <w:szCs w:val="28"/>
        </w:rPr>
        <w:t>Q</w:t>
      </w:r>
      <w:r w:rsidRPr="00627648">
        <w:rPr>
          <w:rFonts w:cstheme="minorHAnsi"/>
          <w:sz w:val="28"/>
          <w:szCs w:val="28"/>
          <w:vertAlign w:val="subscript"/>
        </w:rPr>
        <w:t>зар</w:t>
      </w:r>
      <w:proofErr w:type="spellEnd"/>
      <w:r w:rsidRPr="00627648">
        <w:rPr>
          <w:rFonts w:cstheme="minorHAnsi"/>
          <w:sz w:val="28"/>
          <w:szCs w:val="28"/>
          <w:vertAlign w:val="subscript"/>
        </w:rPr>
        <w:t> </w:t>
      </w:r>
      <w:r w:rsidRPr="00627648">
        <w:rPr>
          <w:rFonts w:cstheme="minorHAnsi"/>
          <w:sz w:val="28"/>
          <w:szCs w:val="28"/>
        </w:rPr>
        <w:t>– масса ВВ активного хранилища, кг.</w:t>
      </w:r>
    </w:p>
    <w:p w14:paraId="67C16C2D" w14:textId="77777777" w:rsidR="00627648" w:rsidRPr="00627648" w:rsidRDefault="00627648" w:rsidP="00627648">
      <w:pPr>
        <w:jc w:val="both"/>
        <w:rPr>
          <w:rFonts w:cstheme="minorHAnsi"/>
          <w:sz w:val="28"/>
          <w:szCs w:val="28"/>
        </w:rPr>
      </w:pPr>
      <w:r w:rsidRPr="00627648">
        <w:rPr>
          <w:rFonts w:cstheme="minorHAnsi"/>
          <w:i/>
          <w:iCs/>
          <w:sz w:val="28"/>
          <w:szCs w:val="28"/>
        </w:rPr>
        <w:t>b</w:t>
      </w:r>
      <w:r w:rsidRPr="00627648">
        <w:rPr>
          <w:rFonts w:cstheme="minorHAnsi"/>
          <w:sz w:val="28"/>
          <w:szCs w:val="28"/>
        </w:rPr>
        <w:t> – меньший линейный размер пассивного заряда (ширина штабеля хранилища), м.</w:t>
      </w:r>
    </w:p>
    <w:p w14:paraId="16A931BD" w14:textId="77777777" w:rsidR="00627648" w:rsidRPr="00EA1645" w:rsidRDefault="00627648" w:rsidP="00EA1645">
      <w:pPr>
        <w:jc w:val="both"/>
        <w:rPr>
          <w:rFonts w:cstheme="minorHAnsi"/>
          <w:sz w:val="28"/>
          <w:szCs w:val="28"/>
        </w:rPr>
      </w:pPr>
    </w:p>
    <w:sectPr w:rsidR="00627648" w:rsidRPr="00EA1645" w:rsidSect="00EA164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FF"/>
    <w:rsid w:val="003756F1"/>
    <w:rsid w:val="00627648"/>
    <w:rsid w:val="009540FF"/>
    <w:rsid w:val="0099208E"/>
    <w:rsid w:val="00A666C3"/>
    <w:rsid w:val="00BD1C25"/>
    <w:rsid w:val="00EA1645"/>
    <w:rsid w:val="00F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3103"/>
  <w15:chartTrackingRefBased/>
  <w15:docId w15:val="{DF9616C3-9AB4-454E-9AB1-D6461DF1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0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0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4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40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40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0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0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40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40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40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4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4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4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40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40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40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4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40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4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Горбунцова</dc:creator>
  <cp:keywords/>
  <dc:description/>
  <cp:lastModifiedBy>Мадина Горбунцова</cp:lastModifiedBy>
  <cp:revision>2</cp:revision>
  <dcterms:created xsi:type="dcterms:W3CDTF">2025-09-25T15:32:00Z</dcterms:created>
  <dcterms:modified xsi:type="dcterms:W3CDTF">2025-09-25T16:09:00Z</dcterms:modified>
</cp:coreProperties>
</file>