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997AF" w14:textId="4208C5EE" w:rsidR="00FE7539" w:rsidRPr="000E235F" w:rsidRDefault="000E235F" w:rsidP="000E235F">
      <w:pPr>
        <w:jc w:val="center"/>
        <w:rPr>
          <w:rFonts w:ascii="Times New Roman" w:hAnsi="Times New Roman" w:cs="Times New Roman"/>
          <w:b/>
          <w:bCs/>
          <w:sz w:val="28"/>
          <w:szCs w:val="28"/>
        </w:rPr>
      </w:pPr>
      <w:r w:rsidRPr="000E235F">
        <w:rPr>
          <w:rFonts w:ascii="Times New Roman" w:hAnsi="Times New Roman" w:cs="Times New Roman"/>
          <w:b/>
          <w:bCs/>
          <w:sz w:val="28"/>
          <w:szCs w:val="28"/>
        </w:rPr>
        <w:t>Лекция 31</w:t>
      </w:r>
    </w:p>
    <w:p w14:paraId="797F20DA" w14:textId="5A9D12BE" w:rsidR="000E235F" w:rsidRPr="000E235F" w:rsidRDefault="000E235F" w:rsidP="000E235F">
      <w:pPr>
        <w:jc w:val="center"/>
        <w:rPr>
          <w:rFonts w:ascii="Times New Roman" w:hAnsi="Times New Roman" w:cs="Times New Roman"/>
          <w:b/>
          <w:bCs/>
          <w:sz w:val="28"/>
          <w:szCs w:val="28"/>
        </w:rPr>
      </w:pPr>
      <w:r w:rsidRPr="000E235F">
        <w:rPr>
          <w:rFonts w:ascii="Times New Roman" w:hAnsi="Times New Roman" w:cs="Times New Roman"/>
          <w:b/>
          <w:bCs/>
          <w:sz w:val="28"/>
          <w:szCs w:val="28"/>
        </w:rPr>
        <w:t>Заряды , их виды, формы, конструкция зарядов и область применения. Сфера действия взрыва, поражающие факторы. Элементы воронки взрыва.</w:t>
      </w:r>
    </w:p>
    <w:p w14:paraId="5211547B" w14:textId="77777777" w:rsidR="000E235F" w:rsidRPr="000E235F" w:rsidRDefault="000E235F" w:rsidP="000E235F">
      <w:pPr>
        <w:pStyle w:val="ac"/>
        <w:ind w:firstLine="851"/>
        <w:jc w:val="both"/>
        <w:rPr>
          <w:b w:val="0"/>
          <w:bCs w:val="0"/>
          <w:szCs w:val="28"/>
          <w:u w:val="single"/>
        </w:rPr>
      </w:pPr>
      <w:r w:rsidRPr="000E235F">
        <w:rPr>
          <w:b w:val="0"/>
          <w:bCs w:val="0"/>
          <w:szCs w:val="28"/>
        </w:rPr>
        <w:t xml:space="preserve">Заряд </w:t>
      </w:r>
      <w:r w:rsidRPr="000E235F">
        <w:rPr>
          <w:bCs w:val="0"/>
          <w:szCs w:val="28"/>
        </w:rPr>
        <w:t xml:space="preserve">- </w:t>
      </w:r>
      <w:r w:rsidRPr="000E235F">
        <w:rPr>
          <w:b w:val="0"/>
          <w:szCs w:val="28"/>
        </w:rPr>
        <w:t>определенное количество ВВ, подготовленное к взрыву.</w:t>
      </w:r>
      <w:r w:rsidRPr="000E235F">
        <w:rPr>
          <w:b w:val="0"/>
          <w:bCs w:val="0"/>
          <w:szCs w:val="28"/>
          <w:u w:val="single"/>
        </w:rPr>
        <w:t xml:space="preserve"> </w:t>
      </w:r>
    </w:p>
    <w:p w14:paraId="7DE2DD01" w14:textId="77777777" w:rsidR="000E235F" w:rsidRPr="000E235F" w:rsidRDefault="000E235F" w:rsidP="000E235F">
      <w:pPr>
        <w:pStyle w:val="ac"/>
        <w:ind w:firstLine="851"/>
        <w:jc w:val="both"/>
        <w:rPr>
          <w:b w:val="0"/>
          <w:szCs w:val="28"/>
        </w:rPr>
      </w:pPr>
      <w:r w:rsidRPr="000E235F">
        <w:rPr>
          <w:b w:val="0"/>
          <w:szCs w:val="28"/>
        </w:rPr>
        <w:t>В зависимости от условий и методов ведения взрывных работ применяемые заряды ВВ классифицируют по форме, построению, способу размещения во взрываемом массиве.</w:t>
      </w:r>
    </w:p>
    <w:p w14:paraId="034565E7" w14:textId="640AA18B" w:rsidR="000E235F" w:rsidRPr="000E235F" w:rsidRDefault="000E235F" w:rsidP="000E235F">
      <w:pPr>
        <w:numPr>
          <w:ilvl w:val="0"/>
          <w:numId w:val="1"/>
        </w:numPr>
        <w:tabs>
          <w:tab w:val="num" w:pos="0"/>
          <w:tab w:val="num" w:pos="360"/>
        </w:tabs>
        <w:spacing w:after="0" w:line="240" w:lineRule="auto"/>
        <w:ind w:left="0" w:firstLine="0"/>
        <w:jc w:val="both"/>
        <w:rPr>
          <w:rFonts w:ascii="Times New Roman" w:hAnsi="Times New Roman"/>
          <w:b/>
          <w:bCs/>
          <w:sz w:val="28"/>
          <w:szCs w:val="28"/>
        </w:rPr>
      </w:pPr>
      <w:r w:rsidRPr="000E235F">
        <w:rPr>
          <w:rFonts w:ascii="Times New Roman" w:hAnsi="Times New Roman"/>
          <w:sz w:val="28"/>
          <w:szCs w:val="28"/>
        </w:rPr>
        <w:t xml:space="preserve">В зависимости от размещения ВВ относительно взрываемого массива заряды разделяются на </w:t>
      </w:r>
      <w:r w:rsidRPr="000E235F">
        <w:rPr>
          <w:rFonts w:ascii="Times New Roman" w:hAnsi="Times New Roman"/>
          <w:b/>
          <w:bCs/>
          <w:sz w:val="28"/>
          <w:szCs w:val="28"/>
        </w:rPr>
        <w:t xml:space="preserve">наружные </w:t>
      </w:r>
      <w:r w:rsidRPr="000E235F">
        <w:rPr>
          <w:rFonts w:ascii="Times New Roman" w:hAnsi="Times New Roman"/>
          <w:sz w:val="28"/>
          <w:szCs w:val="28"/>
        </w:rPr>
        <w:t xml:space="preserve">– расположенные на разрушаемом массиве, и </w:t>
      </w:r>
      <w:r w:rsidRPr="000E235F">
        <w:rPr>
          <w:rFonts w:ascii="Times New Roman" w:hAnsi="Times New Roman"/>
          <w:b/>
          <w:bCs/>
          <w:sz w:val="28"/>
          <w:szCs w:val="28"/>
        </w:rPr>
        <w:t>внутренние</w:t>
      </w:r>
      <w:r w:rsidRPr="000E235F">
        <w:rPr>
          <w:rFonts w:ascii="Times New Roman" w:hAnsi="Times New Roman"/>
          <w:sz w:val="28"/>
          <w:szCs w:val="28"/>
        </w:rPr>
        <w:t xml:space="preserve"> – помещенные в специальных полостях – скважинах, шпурах горных выработках, внутри разрушаемого массива. </w:t>
      </w:r>
    </w:p>
    <w:p w14:paraId="1863102F" w14:textId="1DCEEF19" w:rsidR="000E235F" w:rsidRPr="000E235F" w:rsidRDefault="000E235F" w:rsidP="000E235F">
      <w:pPr>
        <w:numPr>
          <w:ilvl w:val="0"/>
          <w:numId w:val="1"/>
        </w:numPr>
        <w:tabs>
          <w:tab w:val="num" w:pos="0"/>
          <w:tab w:val="num" w:pos="360"/>
        </w:tabs>
        <w:spacing w:after="0" w:line="240" w:lineRule="auto"/>
        <w:ind w:left="0" w:firstLine="0"/>
        <w:jc w:val="both"/>
        <w:rPr>
          <w:rFonts w:ascii="Times New Roman" w:hAnsi="Times New Roman"/>
          <w:b/>
          <w:bCs/>
          <w:sz w:val="28"/>
          <w:szCs w:val="28"/>
        </w:rPr>
      </w:pPr>
      <w:r w:rsidRPr="000E235F">
        <w:rPr>
          <w:rFonts w:ascii="Times New Roman" w:hAnsi="Times New Roman"/>
          <w:sz w:val="28"/>
          <w:szCs w:val="28"/>
        </w:rPr>
        <w:t xml:space="preserve">По форме заряды разделяют на </w:t>
      </w:r>
      <w:r w:rsidRPr="000E235F">
        <w:rPr>
          <w:rFonts w:ascii="Times New Roman" w:hAnsi="Times New Roman"/>
          <w:b/>
          <w:bCs/>
          <w:sz w:val="28"/>
          <w:szCs w:val="28"/>
        </w:rPr>
        <w:t>сосредоточенные и удлиненные</w:t>
      </w:r>
      <w:r w:rsidRPr="000E235F">
        <w:rPr>
          <w:rFonts w:ascii="Times New Roman" w:hAnsi="Times New Roman"/>
          <w:sz w:val="28"/>
          <w:szCs w:val="28"/>
        </w:rPr>
        <w:t xml:space="preserve">. К сосредоточенным относятся заряды, у которых отношение ширины к высоте, составляет не более 1:4, удлиненными или колонковыми называют заряды, у которых длина больше четырех диаметров или поперечников. </w:t>
      </w:r>
    </w:p>
    <w:p w14:paraId="75927479" w14:textId="2DC6D918" w:rsidR="00572DB8" w:rsidRPr="00572DB8" w:rsidRDefault="000E235F" w:rsidP="00572DB8">
      <w:pPr>
        <w:numPr>
          <w:ilvl w:val="0"/>
          <w:numId w:val="1"/>
        </w:numPr>
        <w:tabs>
          <w:tab w:val="num" w:pos="0"/>
          <w:tab w:val="num" w:pos="360"/>
        </w:tabs>
        <w:spacing w:after="0" w:line="240" w:lineRule="auto"/>
        <w:ind w:left="0" w:firstLine="0"/>
        <w:jc w:val="both"/>
        <w:rPr>
          <w:rFonts w:ascii="Times New Roman" w:hAnsi="Times New Roman"/>
          <w:b/>
          <w:bCs/>
          <w:sz w:val="28"/>
          <w:szCs w:val="28"/>
        </w:rPr>
      </w:pPr>
      <w:r w:rsidRPr="000E235F">
        <w:rPr>
          <w:rFonts w:ascii="Times New Roman" w:hAnsi="Times New Roman"/>
          <w:sz w:val="28"/>
          <w:szCs w:val="28"/>
        </w:rPr>
        <w:t xml:space="preserve">По конструкции, построению заряды разделяют на </w:t>
      </w:r>
      <w:r w:rsidRPr="000E235F">
        <w:rPr>
          <w:rFonts w:ascii="Times New Roman" w:hAnsi="Times New Roman"/>
          <w:b/>
          <w:bCs/>
          <w:sz w:val="28"/>
          <w:szCs w:val="28"/>
        </w:rPr>
        <w:t>сплошные и рассредоточенные</w:t>
      </w:r>
      <w:r w:rsidRPr="000E235F">
        <w:rPr>
          <w:rFonts w:ascii="Times New Roman" w:hAnsi="Times New Roman"/>
          <w:sz w:val="28"/>
          <w:szCs w:val="28"/>
        </w:rPr>
        <w:t>. К сплошным (непрерывным) относятся заряды, в которых масса ВВ не разделена промежутками на отдельные части. Рассредоточенными считают заряды, отдельные части которых разделены между собой воздушными промежутками или инертными материалами.</w:t>
      </w:r>
    </w:p>
    <w:p w14:paraId="7A5C36B6" w14:textId="77777777" w:rsidR="00572DB8" w:rsidRDefault="00572DB8" w:rsidP="00572DB8">
      <w:pPr>
        <w:tabs>
          <w:tab w:val="num" w:pos="1640"/>
        </w:tabs>
        <w:spacing w:after="0" w:line="240" w:lineRule="auto"/>
        <w:jc w:val="both"/>
        <w:rPr>
          <w:rFonts w:ascii="Times New Roman" w:hAnsi="Times New Roman"/>
          <w:b/>
          <w:bCs/>
          <w:noProof/>
          <w:sz w:val="28"/>
          <w:szCs w:val="28"/>
        </w:rPr>
      </w:pPr>
    </w:p>
    <w:p w14:paraId="7E1D5CDE" w14:textId="713E33F5" w:rsidR="00572DB8" w:rsidRDefault="00572DB8" w:rsidP="00572DB8">
      <w:pPr>
        <w:tabs>
          <w:tab w:val="num" w:pos="1640"/>
        </w:tabs>
        <w:spacing w:after="0" w:line="240" w:lineRule="auto"/>
        <w:jc w:val="both"/>
        <w:rPr>
          <w:rFonts w:ascii="Times New Roman" w:hAnsi="Times New Roman"/>
          <w:b/>
          <w:bCs/>
          <w:sz w:val="28"/>
          <w:szCs w:val="28"/>
        </w:rPr>
      </w:pPr>
      <w:r>
        <w:rPr>
          <w:rFonts w:ascii="Times New Roman" w:hAnsi="Times New Roman"/>
          <w:b/>
          <w:bCs/>
          <w:noProof/>
          <w:sz w:val="28"/>
          <w:szCs w:val="28"/>
        </w:rPr>
        <w:drawing>
          <wp:inline distT="0" distB="0" distL="0" distR="0" wp14:anchorId="0A33AE17" wp14:editId="73968A22">
            <wp:extent cx="4838065" cy="2042029"/>
            <wp:effectExtent l="0" t="0" r="635" b="0"/>
            <wp:docPr id="17787462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a:extLst>
                        <a:ext uri="{28A0092B-C50C-407E-A947-70E740481C1C}">
                          <a14:useLocalDpi xmlns:a14="http://schemas.microsoft.com/office/drawing/2010/main" val="0"/>
                        </a:ext>
                      </a:extLst>
                    </a:blip>
                    <a:srcRect l="115" t="71965" r="32685" b="9252"/>
                    <a:stretch>
                      <a:fillRect/>
                    </a:stretch>
                  </pic:blipFill>
                  <pic:spPr bwMode="auto">
                    <a:xfrm>
                      <a:off x="0" y="0"/>
                      <a:ext cx="4846165" cy="2045448"/>
                    </a:xfrm>
                    <a:prstGeom prst="rect">
                      <a:avLst/>
                    </a:prstGeom>
                    <a:noFill/>
                    <a:ln>
                      <a:noFill/>
                    </a:ln>
                    <a:extLst>
                      <a:ext uri="{53640926-AAD7-44D8-BBD7-CCE9431645EC}">
                        <a14:shadowObscured xmlns:a14="http://schemas.microsoft.com/office/drawing/2010/main"/>
                      </a:ext>
                    </a:extLst>
                  </pic:spPr>
                </pic:pic>
              </a:graphicData>
            </a:graphic>
          </wp:inline>
        </w:drawing>
      </w:r>
    </w:p>
    <w:p w14:paraId="03ED0599" w14:textId="4135C798" w:rsidR="00572DB8" w:rsidRDefault="00572DB8" w:rsidP="00572DB8">
      <w:pPr>
        <w:tabs>
          <w:tab w:val="num" w:pos="1640"/>
        </w:tabs>
        <w:spacing w:after="0" w:line="240" w:lineRule="auto"/>
        <w:jc w:val="both"/>
        <w:rPr>
          <w:rFonts w:ascii="Times New Roman" w:hAnsi="Times New Roman"/>
          <w:b/>
          <w:bCs/>
          <w:sz w:val="28"/>
          <w:szCs w:val="28"/>
        </w:rPr>
      </w:pPr>
      <w:r>
        <w:rPr>
          <w:rFonts w:ascii="Times New Roman" w:hAnsi="Times New Roman"/>
          <w:b/>
          <w:bCs/>
          <w:sz w:val="28"/>
          <w:szCs w:val="28"/>
        </w:rPr>
        <w:t>1 рисунок рассредоточенный ; 2 рисунок сплошно</w:t>
      </w:r>
    </w:p>
    <w:p w14:paraId="1443F068" w14:textId="5B5FA6C7" w:rsidR="00572DB8" w:rsidRPr="00572DB8" w:rsidRDefault="00572DB8" w:rsidP="00572DB8">
      <w:pPr>
        <w:pStyle w:val="a7"/>
        <w:numPr>
          <w:ilvl w:val="0"/>
          <w:numId w:val="3"/>
        </w:numPr>
        <w:tabs>
          <w:tab w:val="num" w:pos="1640"/>
        </w:tabs>
        <w:spacing w:after="0" w:line="240" w:lineRule="auto"/>
        <w:jc w:val="both"/>
        <w:rPr>
          <w:rFonts w:ascii="Times New Roman" w:hAnsi="Times New Roman"/>
          <w:b/>
          <w:bCs/>
          <w:sz w:val="28"/>
          <w:szCs w:val="28"/>
        </w:rPr>
      </w:pPr>
      <w:r>
        <w:rPr>
          <w:rFonts w:ascii="Times New Roman" w:hAnsi="Times New Roman"/>
          <w:b/>
          <w:bCs/>
          <w:sz w:val="28"/>
          <w:szCs w:val="28"/>
        </w:rPr>
        <w:t>ВВ; 2- забойка;</w:t>
      </w:r>
      <w:r>
        <w:rPr>
          <w:rFonts w:ascii="Times New Roman" w:hAnsi="Times New Roman"/>
          <w:b/>
          <w:bCs/>
          <w:sz w:val="28"/>
          <w:szCs w:val="28"/>
          <w:lang w:val="en-US"/>
        </w:rPr>
        <w:t>h</w:t>
      </w:r>
      <w:r>
        <w:rPr>
          <w:rFonts w:ascii="Times New Roman" w:hAnsi="Times New Roman"/>
          <w:b/>
          <w:bCs/>
          <w:sz w:val="28"/>
          <w:szCs w:val="28"/>
          <w:vertAlign w:val="subscript"/>
        </w:rPr>
        <w:t>в</w:t>
      </w:r>
      <w:r>
        <w:rPr>
          <w:rFonts w:ascii="Times New Roman" w:hAnsi="Times New Roman"/>
          <w:b/>
          <w:bCs/>
          <w:sz w:val="28"/>
          <w:szCs w:val="28"/>
        </w:rPr>
        <w:t>- воздушный промежуток</w:t>
      </w:r>
    </w:p>
    <w:p w14:paraId="194D3210" w14:textId="77777777" w:rsidR="000E235F" w:rsidRPr="000E235F" w:rsidRDefault="000E235F" w:rsidP="000E235F">
      <w:pPr>
        <w:numPr>
          <w:ilvl w:val="0"/>
          <w:numId w:val="1"/>
        </w:numPr>
        <w:tabs>
          <w:tab w:val="num" w:pos="0"/>
          <w:tab w:val="num" w:pos="360"/>
        </w:tabs>
        <w:spacing w:after="0" w:line="240" w:lineRule="auto"/>
        <w:ind w:left="0" w:firstLine="0"/>
        <w:jc w:val="both"/>
        <w:rPr>
          <w:rFonts w:ascii="Times New Roman" w:hAnsi="Times New Roman"/>
          <w:sz w:val="28"/>
          <w:szCs w:val="28"/>
        </w:rPr>
      </w:pPr>
      <w:r w:rsidRPr="000E235F">
        <w:rPr>
          <w:rFonts w:ascii="Times New Roman" w:hAnsi="Times New Roman"/>
          <w:sz w:val="28"/>
          <w:szCs w:val="28"/>
        </w:rPr>
        <w:t xml:space="preserve">По характеру действия: </w:t>
      </w:r>
      <w:r w:rsidRPr="000E235F">
        <w:rPr>
          <w:rFonts w:ascii="Times New Roman" w:hAnsi="Times New Roman"/>
          <w:b/>
          <w:bCs/>
          <w:sz w:val="28"/>
          <w:szCs w:val="28"/>
        </w:rPr>
        <w:t>заряд комуфлета</w:t>
      </w:r>
      <w:r w:rsidRPr="000E235F">
        <w:rPr>
          <w:rFonts w:ascii="Times New Roman" w:hAnsi="Times New Roman"/>
          <w:sz w:val="28"/>
          <w:szCs w:val="28"/>
        </w:rPr>
        <w:t xml:space="preserve">, действие которого не распространяется на поверхность; </w:t>
      </w:r>
      <w:r w:rsidRPr="000E235F">
        <w:rPr>
          <w:rFonts w:ascii="Times New Roman" w:hAnsi="Times New Roman"/>
          <w:b/>
          <w:bCs/>
          <w:sz w:val="28"/>
          <w:szCs w:val="28"/>
        </w:rPr>
        <w:t>заряд рыхления</w:t>
      </w:r>
      <w:r w:rsidRPr="000E235F">
        <w:rPr>
          <w:rFonts w:ascii="Times New Roman" w:hAnsi="Times New Roman"/>
          <w:sz w:val="28"/>
          <w:szCs w:val="28"/>
        </w:rPr>
        <w:t xml:space="preserve"> - сопровождается разрушением целостности горных пород и некоторым их перемещением (развалом), но без образования видимой воронки взрыва; </w:t>
      </w:r>
      <w:r w:rsidRPr="000E235F">
        <w:rPr>
          <w:rFonts w:ascii="Times New Roman" w:hAnsi="Times New Roman"/>
          <w:b/>
          <w:bCs/>
          <w:sz w:val="28"/>
          <w:szCs w:val="28"/>
        </w:rPr>
        <w:t>заряд выброса</w:t>
      </w:r>
      <w:r w:rsidRPr="000E235F">
        <w:rPr>
          <w:rFonts w:ascii="Times New Roman" w:hAnsi="Times New Roman"/>
          <w:sz w:val="28"/>
          <w:szCs w:val="28"/>
        </w:rPr>
        <w:t xml:space="preserve"> сопровождается разрушением горных пород и их выбросом за пределы воронки взрыва.</w:t>
      </w:r>
    </w:p>
    <w:p w14:paraId="41864D2E" w14:textId="77777777" w:rsidR="000E235F" w:rsidRDefault="000E235F" w:rsidP="000E235F">
      <w:pPr>
        <w:shd w:val="clear" w:color="auto" w:fill="FFFFFF"/>
        <w:autoSpaceDE w:val="0"/>
        <w:autoSpaceDN w:val="0"/>
        <w:adjustRightInd w:val="0"/>
        <w:ind w:firstLine="600"/>
        <w:jc w:val="both"/>
        <w:rPr>
          <w:rFonts w:ascii="Times New Roman" w:hAnsi="Times New Roman"/>
          <w:color w:val="000000"/>
          <w:sz w:val="28"/>
          <w:szCs w:val="28"/>
        </w:rPr>
      </w:pPr>
      <w:r w:rsidRPr="000E235F">
        <w:rPr>
          <w:rFonts w:ascii="Times New Roman" w:hAnsi="Times New Roman"/>
          <w:color w:val="000000"/>
          <w:sz w:val="28"/>
          <w:szCs w:val="28"/>
        </w:rPr>
        <w:lastRenderedPageBreak/>
        <w:t>Под конструкцией заряда понимают: форму и расположение заряда ВВ в зарядной камере; место расположения инициатора в заряде; величину и качество забойки.</w:t>
      </w:r>
    </w:p>
    <w:p w14:paraId="137717B6" w14:textId="49C18504" w:rsidR="006F0CE8" w:rsidRDefault="006F0CE8" w:rsidP="000E235F">
      <w:pPr>
        <w:shd w:val="clear" w:color="auto" w:fill="FFFFFF"/>
        <w:autoSpaceDE w:val="0"/>
        <w:autoSpaceDN w:val="0"/>
        <w:adjustRightInd w:val="0"/>
        <w:ind w:firstLine="600"/>
        <w:jc w:val="both"/>
        <w:rPr>
          <w:rFonts w:ascii="Times New Roman" w:hAnsi="Times New Roman"/>
          <w:color w:val="000000"/>
          <w:sz w:val="28"/>
          <w:szCs w:val="28"/>
        </w:rPr>
      </w:pPr>
      <w:r>
        <w:rPr>
          <w:rFonts w:ascii="Times New Roman" w:hAnsi="Times New Roman"/>
          <w:color w:val="000000"/>
          <w:sz w:val="28"/>
          <w:szCs w:val="28"/>
        </w:rPr>
        <w:t>Нарисовать им схему конструкции заряда</w:t>
      </w:r>
    </w:p>
    <w:p w14:paraId="72C490AE" w14:textId="6B63498D" w:rsidR="006F0CE8" w:rsidRPr="000E235F" w:rsidRDefault="006F0CE8" w:rsidP="000E235F">
      <w:pPr>
        <w:shd w:val="clear" w:color="auto" w:fill="FFFFFF"/>
        <w:autoSpaceDE w:val="0"/>
        <w:autoSpaceDN w:val="0"/>
        <w:adjustRightInd w:val="0"/>
        <w:ind w:firstLine="600"/>
        <w:jc w:val="both"/>
        <w:rPr>
          <w:rFonts w:ascii="Times New Roman" w:hAnsi="Times New Roman"/>
          <w:color w:val="000000"/>
          <w:sz w:val="28"/>
          <w:szCs w:val="28"/>
        </w:rPr>
      </w:pPr>
      <w:r>
        <w:rPr>
          <w:noProof/>
        </w:rPr>
        <w:drawing>
          <wp:inline distT="0" distB="0" distL="0" distR="0" wp14:anchorId="5C3A7E49" wp14:editId="2646A354">
            <wp:extent cx="4627548" cy="3467100"/>
            <wp:effectExtent l="0" t="0" r="1905" b="0"/>
            <wp:docPr id="409207135"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35244" cy="3472866"/>
                    </a:xfrm>
                    <a:prstGeom prst="rect">
                      <a:avLst/>
                    </a:prstGeom>
                    <a:noFill/>
                    <a:ln>
                      <a:noFill/>
                    </a:ln>
                  </pic:spPr>
                </pic:pic>
              </a:graphicData>
            </a:graphic>
          </wp:inline>
        </w:drawing>
      </w:r>
    </w:p>
    <w:p w14:paraId="26CE66E1" w14:textId="4DFC1403" w:rsidR="000E235F" w:rsidRDefault="006F0CE8" w:rsidP="000E235F">
      <w:pPr>
        <w:jc w:val="both"/>
        <w:rPr>
          <w:rFonts w:ascii="Times New Roman" w:hAnsi="Times New Roman" w:cs="Times New Roman"/>
          <w:sz w:val="28"/>
          <w:szCs w:val="28"/>
        </w:rPr>
      </w:pPr>
      <w:r>
        <w:rPr>
          <w:noProof/>
        </w:rPr>
        <w:lastRenderedPageBreak/>
        <w:drawing>
          <wp:inline distT="0" distB="0" distL="0" distR="0" wp14:anchorId="6A7FB3E7" wp14:editId="25554C61">
            <wp:extent cx="6188710" cy="4636770"/>
            <wp:effectExtent l="0" t="0" r="2540" b="0"/>
            <wp:docPr id="1222750098"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backgroun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88710" cy="4636770"/>
                    </a:xfrm>
                    <a:prstGeom prst="rect">
                      <a:avLst/>
                    </a:prstGeom>
                    <a:noFill/>
                    <a:ln>
                      <a:noFill/>
                    </a:ln>
                  </pic:spPr>
                </pic:pic>
              </a:graphicData>
            </a:graphic>
          </wp:inline>
        </w:drawing>
      </w:r>
    </w:p>
    <w:p w14:paraId="5C4055FC" w14:textId="77777777" w:rsidR="00B647A4" w:rsidRDefault="00B647A4" w:rsidP="000E235F">
      <w:pPr>
        <w:jc w:val="both"/>
        <w:rPr>
          <w:rFonts w:ascii="Times New Roman" w:hAnsi="Times New Roman" w:cs="Times New Roman"/>
          <w:sz w:val="28"/>
          <w:szCs w:val="28"/>
        </w:rPr>
      </w:pPr>
    </w:p>
    <w:p w14:paraId="5863C9E3" w14:textId="77777777" w:rsidR="00B647A4" w:rsidRDefault="00B647A4" w:rsidP="000E235F">
      <w:pPr>
        <w:jc w:val="both"/>
        <w:rPr>
          <w:rFonts w:ascii="Times New Roman" w:hAnsi="Times New Roman" w:cs="Times New Roman"/>
          <w:sz w:val="28"/>
          <w:szCs w:val="28"/>
        </w:rPr>
      </w:pPr>
    </w:p>
    <w:p w14:paraId="78162169" w14:textId="1E3FB1C0" w:rsidR="00B647A4" w:rsidRPr="00572DB8" w:rsidRDefault="00B647A4" w:rsidP="000E235F">
      <w:pPr>
        <w:jc w:val="both"/>
        <w:rPr>
          <w:rFonts w:ascii="Times New Roman" w:hAnsi="Times New Roman" w:cs="Times New Roman"/>
          <w:sz w:val="28"/>
          <w:szCs w:val="28"/>
        </w:rPr>
      </w:pPr>
      <w:r>
        <w:rPr>
          <w:rFonts w:ascii="Times New Roman" w:hAnsi="Times New Roman" w:cs="Times New Roman"/>
          <w:sz w:val="28"/>
          <w:szCs w:val="28"/>
        </w:rPr>
        <w:t>П</w:t>
      </w:r>
      <w:r w:rsidRPr="00B647A4">
        <w:rPr>
          <w:rFonts w:ascii="Times New Roman" w:hAnsi="Times New Roman" w:cs="Times New Roman"/>
          <w:sz w:val="28"/>
          <w:szCs w:val="28"/>
        </w:rPr>
        <w:t>ри взрыве сосредоточенного заряда в массиве с одной открытой поверхностью образуется конусообразное разрушение, которое принято называть воронкой разрушения, или воронкой взрыва. Форма образуемой воронки зависит от свойств взрываемой среды. При расчетах одиночных сосредоточенных зарядов форму воронки взрыва принимают в виде опрокинутого конуса вращения с вершиной в центре заряда. Различаются следующие элементы воронки взрыва (рис. 9.3): глубина заложения заряда или ЛНС - кратчайшее расстояние от центра заряда до ближайшей открытой поверхности W.</w:t>
      </w:r>
    </w:p>
    <w:p w14:paraId="7C78399D" w14:textId="77777777" w:rsidR="00B647A4" w:rsidRPr="00572DB8" w:rsidRDefault="00B647A4" w:rsidP="000E235F">
      <w:pPr>
        <w:jc w:val="both"/>
        <w:rPr>
          <w:rFonts w:ascii="Times New Roman" w:hAnsi="Times New Roman" w:cs="Times New Roman"/>
          <w:noProof/>
          <w:sz w:val="28"/>
          <w:szCs w:val="28"/>
        </w:rPr>
      </w:pPr>
    </w:p>
    <w:p w14:paraId="752ACDC0" w14:textId="4D7429E6" w:rsidR="00B647A4" w:rsidRPr="00B647A4" w:rsidRDefault="00B647A4" w:rsidP="000E235F">
      <w:pPr>
        <w:jc w:val="both"/>
        <w:rPr>
          <w:rFonts w:ascii="Times New Roman" w:hAnsi="Times New Roman" w:cs="Times New Roman"/>
          <w:sz w:val="28"/>
          <w:szCs w:val="28"/>
          <w:lang w:val="en-US"/>
        </w:rPr>
      </w:pPr>
      <w:r>
        <w:rPr>
          <w:rFonts w:ascii="Times New Roman" w:hAnsi="Times New Roman" w:cs="Times New Roman"/>
          <w:noProof/>
          <w:sz w:val="28"/>
          <w:szCs w:val="28"/>
          <w:lang w:val="en-US"/>
        </w:rPr>
        <w:lastRenderedPageBreak/>
        <w:drawing>
          <wp:inline distT="0" distB="0" distL="0" distR="0" wp14:anchorId="4421F085" wp14:editId="08129F41">
            <wp:extent cx="4207886" cy="5616834"/>
            <wp:effectExtent l="317" t="0" r="2858" b="2857"/>
            <wp:docPr id="3704786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l="4357" t="4030" r="6928" b="7155"/>
                    <a:stretch>
                      <a:fillRect/>
                    </a:stretch>
                  </pic:blipFill>
                  <pic:spPr bwMode="auto">
                    <a:xfrm rot="16200000">
                      <a:off x="0" y="0"/>
                      <a:ext cx="4208189" cy="5617239"/>
                    </a:xfrm>
                    <a:prstGeom prst="rect">
                      <a:avLst/>
                    </a:prstGeom>
                    <a:noFill/>
                    <a:ln>
                      <a:noFill/>
                    </a:ln>
                    <a:extLst>
                      <a:ext uri="{53640926-AAD7-44D8-BBD7-CCE9431645EC}">
                        <a14:shadowObscured xmlns:a14="http://schemas.microsoft.com/office/drawing/2010/main"/>
                      </a:ext>
                    </a:extLst>
                  </pic:spPr>
                </pic:pic>
              </a:graphicData>
            </a:graphic>
          </wp:inline>
        </w:drawing>
      </w:r>
    </w:p>
    <w:p w14:paraId="4F8C9B2A" w14:textId="4AB56EDC" w:rsidR="00B647A4" w:rsidRPr="00B647A4" w:rsidRDefault="00B647A4" w:rsidP="00B647A4">
      <w:pPr>
        <w:jc w:val="both"/>
        <w:rPr>
          <w:rFonts w:ascii="Times New Roman" w:hAnsi="Times New Roman" w:cs="Times New Roman"/>
          <w:sz w:val="28"/>
          <w:szCs w:val="28"/>
        </w:rPr>
      </w:pPr>
      <w:r w:rsidRPr="00B647A4">
        <w:rPr>
          <w:rFonts w:ascii="Times New Roman" w:hAnsi="Times New Roman" w:cs="Times New Roman"/>
          <w:sz w:val="28"/>
          <w:szCs w:val="28"/>
        </w:rPr>
        <w:t xml:space="preserve">Линией наименьшего сопротивления для удлиненных зарядов при их многорядном расположении является среднее расстояние между рядами или отдельными зарядами; угол полураствора воронки взрыва а; радиус действия взрыва заряда R; радиус воронки взрыва г, показатель действия взрыва связаны соотношением n = r/W = tg a. В зависимости от величины показателя действия взрыва различают три разновидности зарядов выброса: нормальный при </w:t>
      </w:r>
      <w:r>
        <w:rPr>
          <w:rFonts w:ascii="Times New Roman" w:hAnsi="Times New Roman" w:cs="Times New Roman"/>
          <w:sz w:val="28"/>
          <w:szCs w:val="28"/>
          <w:lang w:val="en-US"/>
        </w:rPr>
        <w:t>n</w:t>
      </w:r>
      <w:r w:rsidRPr="00B647A4">
        <w:rPr>
          <w:rFonts w:ascii="Times New Roman" w:hAnsi="Times New Roman" w:cs="Times New Roman"/>
          <w:sz w:val="28"/>
          <w:szCs w:val="28"/>
        </w:rPr>
        <w:t xml:space="preserve"> = 1 (рис. 9.3, а), уменьшенный при </w:t>
      </w:r>
      <w:r>
        <w:rPr>
          <w:rFonts w:ascii="Times New Roman" w:hAnsi="Times New Roman" w:cs="Times New Roman"/>
          <w:sz w:val="28"/>
          <w:szCs w:val="28"/>
          <w:lang w:val="en-US"/>
        </w:rPr>
        <w:t>n</w:t>
      </w:r>
      <w:r w:rsidRPr="00B647A4">
        <w:rPr>
          <w:rFonts w:ascii="Times New Roman" w:hAnsi="Times New Roman" w:cs="Times New Roman"/>
          <w:sz w:val="28"/>
          <w:szCs w:val="28"/>
        </w:rPr>
        <w:t xml:space="preserve"> &lt; 1 (рис. 9.3, б) и усиленный при </w:t>
      </w:r>
      <w:r>
        <w:rPr>
          <w:rFonts w:ascii="Times New Roman" w:hAnsi="Times New Roman" w:cs="Times New Roman"/>
          <w:sz w:val="28"/>
          <w:szCs w:val="28"/>
          <w:lang w:val="en-US"/>
        </w:rPr>
        <w:t>n</w:t>
      </w:r>
      <w:r w:rsidRPr="00B647A4">
        <w:rPr>
          <w:rFonts w:ascii="Times New Roman" w:hAnsi="Times New Roman" w:cs="Times New Roman"/>
          <w:sz w:val="28"/>
          <w:szCs w:val="28"/>
        </w:rPr>
        <w:t xml:space="preserve"> &gt; 1 (рис. 9.3, в). Заряды уменьшенного и нормального выброса применяются для дробления скальных массивов на карьерах, а также обрушения крутых откосов в гористой местности при дорожном строительстве (взрывы на сброс). Заряды усиленного выброса при </w:t>
      </w:r>
      <w:r>
        <w:rPr>
          <w:rFonts w:ascii="Times New Roman" w:hAnsi="Times New Roman" w:cs="Times New Roman"/>
          <w:sz w:val="28"/>
          <w:szCs w:val="28"/>
          <w:lang w:val="en-US"/>
        </w:rPr>
        <w:t>n</w:t>
      </w:r>
      <w:r w:rsidRPr="00B647A4">
        <w:rPr>
          <w:rFonts w:ascii="Times New Roman" w:hAnsi="Times New Roman" w:cs="Times New Roman"/>
          <w:sz w:val="28"/>
          <w:szCs w:val="28"/>
        </w:rPr>
        <w:t xml:space="preserve"> — 2</w:t>
      </w:r>
      <w:r>
        <w:rPr>
          <w:rFonts w:ascii="Times New Roman" w:hAnsi="Times New Roman" w:cs="Times New Roman"/>
          <w:sz w:val="28"/>
          <w:szCs w:val="28"/>
        </w:rPr>
        <w:t>-</w:t>
      </w:r>
      <w:r w:rsidRPr="00B647A4">
        <w:rPr>
          <w:rFonts w:ascii="Times New Roman" w:hAnsi="Times New Roman" w:cs="Times New Roman"/>
          <w:sz w:val="28"/>
          <w:szCs w:val="28"/>
        </w:rPr>
        <w:t xml:space="preserve"> 3 применяются для сооружения каналов, каменно-набросных плотин в ирригационном и гидротехническом строительстве. Непосредственно в районе заложения заряда при взрыве под действием ударных волн и газов взрыва образуется зона сжатия</w:t>
      </w:r>
      <w:r>
        <w:rPr>
          <w:rFonts w:ascii="Times New Roman" w:hAnsi="Times New Roman" w:cs="Times New Roman"/>
          <w:sz w:val="28"/>
          <w:szCs w:val="28"/>
        </w:rPr>
        <w:t xml:space="preserve"> </w:t>
      </w:r>
      <w:r w:rsidRPr="00B647A4">
        <w:rPr>
          <w:rFonts w:ascii="Times New Roman" w:hAnsi="Times New Roman" w:cs="Times New Roman"/>
          <w:sz w:val="28"/>
          <w:szCs w:val="28"/>
        </w:rPr>
        <w:t xml:space="preserve">или измельчения. В пределах этой зоны происходят раздавливание и сильное измельчение породы с образованием в месте расположения заряда полости определенных размеров. Порода в зоне измельчения превращается в мелкораздробленную массу с измененной структурой. За пределами зоны измельчения происходят дробление породы, разделение ее трещинами без изменения ее структуры. Эта зона называется зоной разрыхления, или трещинообразования. В более удаленных от заряда участках </w:t>
      </w:r>
      <w:r w:rsidRPr="00B647A4">
        <w:rPr>
          <w:rFonts w:ascii="Times New Roman" w:hAnsi="Times New Roman" w:cs="Times New Roman"/>
          <w:sz w:val="28"/>
          <w:szCs w:val="28"/>
        </w:rPr>
        <w:lastRenderedPageBreak/>
        <w:t>массива происходит только сотрясение породы без разрушения. Эту часть среды называют зоной сотрясения. При взрывных работах в горном деле практическое значение имеет совокупность зон сжатия и разрыхления, называемая общим термином зона разрушения. Радиус этой зоны называется радиусом разрушения, или радиусом действия взрыва заряда.</w:t>
      </w:r>
    </w:p>
    <w:p w14:paraId="6029713F" w14:textId="77777777" w:rsidR="00B647A4" w:rsidRPr="00B647A4" w:rsidRDefault="00B647A4" w:rsidP="00B647A4">
      <w:pPr>
        <w:jc w:val="both"/>
        <w:rPr>
          <w:rFonts w:ascii="Times New Roman" w:hAnsi="Times New Roman" w:cs="Times New Roman"/>
          <w:vanish/>
          <w:sz w:val="28"/>
          <w:szCs w:val="28"/>
        </w:rPr>
      </w:pPr>
      <w:r w:rsidRPr="00B647A4">
        <w:rPr>
          <w:rFonts w:ascii="Times New Roman" w:hAnsi="Times New Roman" w:cs="Times New Roman"/>
          <w:vanish/>
          <w:sz w:val="28"/>
          <w:szCs w:val="28"/>
        </w:rPr>
        <w:t>Начало формы</w:t>
      </w:r>
    </w:p>
    <w:p w14:paraId="30EA79AB" w14:textId="77777777" w:rsidR="00B647A4" w:rsidRPr="00B647A4" w:rsidRDefault="00B647A4" w:rsidP="00B647A4">
      <w:pPr>
        <w:jc w:val="both"/>
        <w:rPr>
          <w:rFonts w:ascii="Times New Roman" w:hAnsi="Times New Roman" w:cs="Times New Roman"/>
          <w:vanish/>
          <w:sz w:val="28"/>
          <w:szCs w:val="28"/>
        </w:rPr>
      </w:pPr>
      <w:r w:rsidRPr="00B647A4">
        <w:rPr>
          <w:rFonts w:ascii="Times New Roman" w:hAnsi="Times New Roman" w:cs="Times New Roman"/>
          <w:vanish/>
          <w:sz w:val="28"/>
          <w:szCs w:val="28"/>
        </w:rPr>
        <w:t>Конец формы</w:t>
      </w:r>
    </w:p>
    <w:p w14:paraId="2E4A71A9" w14:textId="77777777" w:rsidR="00B647A4" w:rsidRPr="00B647A4" w:rsidRDefault="00B647A4" w:rsidP="00B647A4">
      <w:pPr>
        <w:jc w:val="both"/>
        <w:rPr>
          <w:rFonts w:ascii="Times New Roman" w:hAnsi="Times New Roman" w:cs="Times New Roman"/>
          <w:vanish/>
          <w:sz w:val="28"/>
          <w:szCs w:val="28"/>
        </w:rPr>
      </w:pPr>
      <w:r w:rsidRPr="00B647A4">
        <w:rPr>
          <w:rFonts w:ascii="Times New Roman" w:hAnsi="Times New Roman" w:cs="Times New Roman"/>
          <w:vanish/>
          <w:sz w:val="28"/>
          <w:szCs w:val="28"/>
        </w:rPr>
        <w:t>Начало формы</w:t>
      </w:r>
    </w:p>
    <w:p w14:paraId="78F72061" w14:textId="77777777" w:rsidR="00B647A4" w:rsidRPr="00B647A4" w:rsidRDefault="00B647A4" w:rsidP="00B647A4">
      <w:pPr>
        <w:jc w:val="both"/>
        <w:rPr>
          <w:rFonts w:ascii="Times New Roman" w:hAnsi="Times New Roman" w:cs="Times New Roman"/>
          <w:vanish/>
          <w:sz w:val="28"/>
          <w:szCs w:val="28"/>
        </w:rPr>
      </w:pPr>
      <w:r w:rsidRPr="00B647A4">
        <w:rPr>
          <w:rFonts w:ascii="Times New Roman" w:hAnsi="Times New Roman" w:cs="Times New Roman"/>
          <w:vanish/>
          <w:sz w:val="28"/>
          <w:szCs w:val="28"/>
        </w:rPr>
        <w:t>Конец формы</w:t>
      </w:r>
    </w:p>
    <w:p w14:paraId="3BA22E16" w14:textId="77777777" w:rsidR="00B647A4" w:rsidRPr="00B647A4" w:rsidRDefault="00B647A4" w:rsidP="00B647A4">
      <w:pPr>
        <w:jc w:val="both"/>
        <w:rPr>
          <w:rFonts w:ascii="Times New Roman" w:hAnsi="Times New Roman" w:cs="Times New Roman"/>
          <w:vanish/>
          <w:sz w:val="28"/>
          <w:szCs w:val="28"/>
        </w:rPr>
      </w:pPr>
      <w:r w:rsidRPr="00B647A4">
        <w:rPr>
          <w:rFonts w:ascii="Times New Roman" w:hAnsi="Times New Roman" w:cs="Times New Roman"/>
          <w:vanish/>
          <w:sz w:val="28"/>
          <w:szCs w:val="28"/>
        </w:rPr>
        <w:t>Начало формы</w:t>
      </w:r>
    </w:p>
    <w:p w14:paraId="57CEDDC7" w14:textId="77777777" w:rsidR="00B647A4" w:rsidRPr="00B647A4" w:rsidRDefault="00B647A4" w:rsidP="00B647A4">
      <w:pPr>
        <w:jc w:val="both"/>
        <w:rPr>
          <w:rFonts w:ascii="Times New Roman" w:hAnsi="Times New Roman" w:cs="Times New Roman"/>
          <w:vanish/>
          <w:sz w:val="28"/>
          <w:szCs w:val="28"/>
        </w:rPr>
      </w:pPr>
      <w:r w:rsidRPr="00B647A4">
        <w:rPr>
          <w:rFonts w:ascii="Times New Roman" w:hAnsi="Times New Roman" w:cs="Times New Roman"/>
          <w:vanish/>
          <w:sz w:val="28"/>
          <w:szCs w:val="28"/>
        </w:rPr>
        <w:t>Конец формы</w:t>
      </w:r>
    </w:p>
    <w:p w14:paraId="361F08B0" w14:textId="77777777" w:rsidR="00B647A4" w:rsidRPr="00B647A4" w:rsidRDefault="00B647A4" w:rsidP="00B647A4">
      <w:pPr>
        <w:jc w:val="both"/>
        <w:rPr>
          <w:rFonts w:ascii="Times New Roman" w:hAnsi="Times New Roman" w:cs="Times New Roman"/>
          <w:vanish/>
          <w:sz w:val="28"/>
          <w:szCs w:val="28"/>
        </w:rPr>
      </w:pPr>
      <w:r w:rsidRPr="00B647A4">
        <w:rPr>
          <w:rFonts w:ascii="Times New Roman" w:hAnsi="Times New Roman" w:cs="Times New Roman"/>
          <w:vanish/>
          <w:sz w:val="28"/>
          <w:szCs w:val="28"/>
        </w:rPr>
        <w:t>Начало формы</w:t>
      </w:r>
    </w:p>
    <w:p w14:paraId="5F9D2945" w14:textId="77777777" w:rsidR="00B647A4" w:rsidRPr="00B647A4" w:rsidRDefault="00B647A4" w:rsidP="00B647A4">
      <w:pPr>
        <w:jc w:val="both"/>
        <w:rPr>
          <w:rFonts w:ascii="Times New Roman" w:hAnsi="Times New Roman" w:cs="Times New Roman"/>
          <w:vanish/>
          <w:sz w:val="28"/>
          <w:szCs w:val="28"/>
        </w:rPr>
      </w:pPr>
      <w:r w:rsidRPr="00B647A4">
        <w:rPr>
          <w:rFonts w:ascii="Times New Roman" w:hAnsi="Times New Roman" w:cs="Times New Roman"/>
          <w:vanish/>
          <w:sz w:val="28"/>
          <w:szCs w:val="28"/>
        </w:rPr>
        <w:t>Конец формы</w:t>
      </w:r>
    </w:p>
    <w:p w14:paraId="79800610" w14:textId="2B451409" w:rsidR="00B647A4" w:rsidRPr="000E235F" w:rsidRDefault="00B647A4" w:rsidP="000E235F">
      <w:pPr>
        <w:jc w:val="both"/>
        <w:rPr>
          <w:rFonts w:ascii="Times New Roman" w:hAnsi="Times New Roman" w:cs="Times New Roman"/>
          <w:sz w:val="28"/>
          <w:szCs w:val="28"/>
        </w:rPr>
      </w:pPr>
    </w:p>
    <w:sectPr w:rsidR="00B647A4" w:rsidRPr="000E235F" w:rsidSect="000E235F">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B305B"/>
    <w:multiLevelType w:val="hybridMultilevel"/>
    <w:tmpl w:val="790416FC"/>
    <w:lvl w:ilvl="0" w:tplc="96DA8ED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316650A4"/>
    <w:multiLevelType w:val="hybridMultilevel"/>
    <w:tmpl w:val="B44A2DFE"/>
    <w:lvl w:ilvl="0" w:tplc="04190001">
      <w:start w:val="1"/>
      <w:numFmt w:val="bullet"/>
      <w:lvlText w:val=""/>
      <w:lvlJc w:val="left"/>
      <w:pPr>
        <w:tabs>
          <w:tab w:val="num" w:pos="1640"/>
        </w:tabs>
        <w:ind w:left="16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51597875"/>
    <w:multiLevelType w:val="hybridMultilevel"/>
    <w:tmpl w:val="914C8716"/>
    <w:lvl w:ilvl="0" w:tplc="3D042C9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26537902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52781940">
    <w:abstractNumId w:val="2"/>
  </w:num>
  <w:num w:numId="3" w16cid:durableId="4835911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533"/>
    <w:rsid w:val="000E235F"/>
    <w:rsid w:val="002220B5"/>
    <w:rsid w:val="00572DB8"/>
    <w:rsid w:val="006F0CE8"/>
    <w:rsid w:val="009C3533"/>
    <w:rsid w:val="00B647A4"/>
    <w:rsid w:val="00BD1C25"/>
    <w:rsid w:val="00E04048"/>
    <w:rsid w:val="00F74BE2"/>
    <w:rsid w:val="00FE75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C2D8C"/>
  <w15:chartTrackingRefBased/>
  <w15:docId w15:val="{86219326-9329-4418-9374-D23DC8436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C353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C353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C353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C353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C353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C353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C353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C353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C353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C353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C353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C353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C353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C353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C353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C3533"/>
    <w:rPr>
      <w:rFonts w:eastAsiaTheme="majorEastAsia" w:cstheme="majorBidi"/>
      <w:color w:val="595959" w:themeColor="text1" w:themeTint="A6"/>
    </w:rPr>
  </w:style>
  <w:style w:type="character" w:customStyle="1" w:styleId="80">
    <w:name w:val="Заголовок 8 Знак"/>
    <w:basedOn w:val="a0"/>
    <w:link w:val="8"/>
    <w:uiPriority w:val="9"/>
    <w:semiHidden/>
    <w:rsid w:val="009C353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C3533"/>
    <w:rPr>
      <w:rFonts w:eastAsiaTheme="majorEastAsia" w:cstheme="majorBidi"/>
      <w:color w:val="272727" w:themeColor="text1" w:themeTint="D8"/>
    </w:rPr>
  </w:style>
  <w:style w:type="paragraph" w:styleId="a3">
    <w:name w:val="Title"/>
    <w:basedOn w:val="a"/>
    <w:next w:val="a"/>
    <w:link w:val="a4"/>
    <w:uiPriority w:val="10"/>
    <w:qFormat/>
    <w:rsid w:val="009C35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C353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C353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C353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C3533"/>
    <w:pPr>
      <w:spacing w:before="160"/>
      <w:jc w:val="center"/>
    </w:pPr>
    <w:rPr>
      <w:i/>
      <w:iCs/>
      <w:color w:val="404040" w:themeColor="text1" w:themeTint="BF"/>
    </w:rPr>
  </w:style>
  <w:style w:type="character" w:customStyle="1" w:styleId="22">
    <w:name w:val="Цитата 2 Знак"/>
    <w:basedOn w:val="a0"/>
    <w:link w:val="21"/>
    <w:uiPriority w:val="29"/>
    <w:rsid w:val="009C3533"/>
    <w:rPr>
      <w:i/>
      <w:iCs/>
      <w:color w:val="404040" w:themeColor="text1" w:themeTint="BF"/>
    </w:rPr>
  </w:style>
  <w:style w:type="paragraph" w:styleId="a7">
    <w:name w:val="List Paragraph"/>
    <w:basedOn w:val="a"/>
    <w:uiPriority w:val="34"/>
    <w:qFormat/>
    <w:rsid w:val="009C3533"/>
    <w:pPr>
      <w:ind w:left="720"/>
      <w:contextualSpacing/>
    </w:pPr>
  </w:style>
  <w:style w:type="character" w:styleId="a8">
    <w:name w:val="Intense Emphasis"/>
    <w:basedOn w:val="a0"/>
    <w:uiPriority w:val="21"/>
    <w:qFormat/>
    <w:rsid w:val="009C3533"/>
    <w:rPr>
      <w:i/>
      <w:iCs/>
      <w:color w:val="2F5496" w:themeColor="accent1" w:themeShade="BF"/>
    </w:rPr>
  </w:style>
  <w:style w:type="paragraph" w:styleId="a9">
    <w:name w:val="Intense Quote"/>
    <w:basedOn w:val="a"/>
    <w:next w:val="a"/>
    <w:link w:val="aa"/>
    <w:uiPriority w:val="30"/>
    <w:qFormat/>
    <w:rsid w:val="009C353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9C3533"/>
    <w:rPr>
      <w:i/>
      <w:iCs/>
      <w:color w:val="2F5496" w:themeColor="accent1" w:themeShade="BF"/>
    </w:rPr>
  </w:style>
  <w:style w:type="character" w:styleId="ab">
    <w:name w:val="Intense Reference"/>
    <w:basedOn w:val="a0"/>
    <w:uiPriority w:val="32"/>
    <w:qFormat/>
    <w:rsid w:val="009C3533"/>
    <w:rPr>
      <w:b/>
      <w:bCs/>
      <w:smallCaps/>
      <w:color w:val="2F5496" w:themeColor="accent1" w:themeShade="BF"/>
      <w:spacing w:val="5"/>
    </w:rPr>
  </w:style>
  <w:style w:type="paragraph" w:customStyle="1" w:styleId="ac">
    <w:basedOn w:val="a"/>
    <w:next w:val="a3"/>
    <w:link w:val="ad"/>
    <w:qFormat/>
    <w:rsid w:val="000E235F"/>
    <w:pPr>
      <w:spacing w:after="0" w:line="240" w:lineRule="auto"/>
      <w:jc w:val="center"/>
    </w:pPr>
    <w:rPr>
      <w:rFonts w:ascii="Times New Roman" w:hAnsi="Times New Roman"/>
      <w:b/>
      <w:bCs/>
      <w:sz w:val="28"/>
    </w:rPr>
  </w:style>
  <w:style w:type="character" w:customStyle="1" w:styleId="ad">
    <w:name w:val="Название Знак"/>
    <w:link w:val="ac"/>
    <w:rsid w:val="000E235F"/>
    <w:rPr>
      <w:rFonts w:ascii="Times New Roman" w:hAnsi="Times New Roman"/>
      <w:b/>
      <w:bCs/>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5</Pages>
  <Words>637</Words>
  <Characters>3633</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Мадина Горбунцова</dc:creator>
  <cp:keywords/>
  <dc:description/>
  <cp:lastModifiedBy>Мадина Горбунцова</cp:lastModifiedBy>
  <cp:revision>4</cp:revision>
  <dcterms:created xsi:type="dcterms:W3CDTF">2025-10-25T04:35:00Z</dcterms:created>
  <dcterms:modified xsi:type="dcterms:W3CDTF">2025-12-09T09:24:00Z</dcterms:modified>
</cp:coreProperties>
</file>