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8E1" w:rsidRDefault="001B58E1" w:rsidP="001B58E1">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t>ПРАКТИЧЕСКАЯ РАБОТА  3</w:t>
      </w:r>
      <w:r w:rsidRPr="001B58E1">
        <w:rPr>
          <w:rFonts w:ascii="Arial" w:eastAsia="Times New Roman" w:hAnsi="Arial" w:cs="Arial"/>
          <w:color w:val="000000"/>
          <w:kern w:val="36"/>
          <w:sz w:val="33"/>
          <w:szCs w:val="33"/>
          <w:lang w:eastAsia="ru-RU"/>
        </w:rPr>
        <w:t xml:space="preserve">. </w:t>
      </w:r>
    </w:p>
    <w:p w:rsidR="001B58E1" w:rsidRPr="001B58E1" w:rsidRDefault="001B58E1" w:rsidP="001B58E1">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t xml:space="preserve"> ТЕМА: </w:t>
      </w:r>
      <w:r w:rsidRPr="001B58E1">
        <w:rPr>
          <w:rFonts w:ascii="Arial" w:eastAsia="Times New Roman" w:hAnsi="Arial" w:cs="Arial"/>
          <w:color w:val="000000"/>
          <w:kern w:val="36"/>
          <w:sz w:val="33"/>
          <w:szCs w:val="33"/>
          <w:lang w:eastAsia="ru-RU"/>
        </w:rPr>
        <w:t>Анализ смеси катионов I и II аналитических групп</w:t>
      </w:r>
    </w:p>
    <w:p w:rsidR="001B58E1" w:rsidRPr="001B58E1" w:rsidRDefault="001B58E1" w:rsidP="001B58E1">
      <w:pPr>
        <w:spacing w:before="100" w:beforeAutospacing="1" w:after="100" w:afterAutospacing="1" w:line="240" w:lineRule="auto"/>
        <w:rPr>
          <w:rFonts w:ascii="Arial" w:eastAsia="Times New Roman" w:hAnsi="Arial" w:cs="Arial"/>
          <w:color w:val="000000"/>
          <w:sz w:val="24"/>
          <w:szCs w:val="24"/>
          <w:lang w:eastAsia="ru-RU"/>
        </w:rPr>
      </w:pPr>
      <w:r w:rsidRPr="001B58E1">
        <w:rPr>
          <w:rFonts w:ascii="Arial" w:eastAsia="Times New Roman" w:hAnsi="Arial" w:cs="Arial"/>
          <w:b/>
          <w:bCs/>
          <w:color w:val="000000"/>
          <w:sz w:val="24"/>
          <w:szCs w:val="24"/>
          <w:lang w:eastAsia="ru-RU"/>
        </w:rPr>
        <w:t>Цель работы</w:t>
      </w:r>
      <w:r w:rsidRPr="001B58E1">
        <w:rPr>
          <w:rFonts w:ascii="Arial" w:eastAsia="Times New Roman" w:hAnsi="Arial" w:cs="Arial"/>
          <w:color w:val="000000"/>
          <w:sz w:val="24"/>
          <w:szCs w:val="24"/>
          <w:lang w:eastAsia="ru-RU"/>
        </w:rPr>
        <w:t>: установить качественный состав раствора, содержащий катионы I и II аналитических групп.</w:t>
      </w:r>
    </w:p>
    <w:p w:rsidR="001B58E1" w:rsidRPr="001B58E1" w:rsidRDefault="001B58E1" w:rsidP="001B58E1">
      <w:pPr>
        <w:spacing w:before="100" w:beforeAutospacing="1" w:after="100" w:afterAutospacing="1" w:line="240" w:lineRule="auto"/>
        <w:rPr>
          <w:rFonts w:ascii="Arial" w:eastAsia="Times New Roman" w:hAnsi="Arial" w:cs="Arial"/>
          <w:color w:val="000000"/>
          <w:sz w:val="24"/>
          <w:szCs w:val="24"/>
          <w:lang w:eastAsia="ru-RU"/>
        </w:rPr>
      </w:pPr>
      <w:r w:rsidRPr="001B58E1">
        <w:rPr>
          <w:rFonts w:ascii="Arial" w:eastAsia="Times New Roman" w:hAnsi="Arial" w:cs="Arial"/>
          <w:b/>
          <w:bCs/>
          <w:color w:val="000000"/>
          <w:sz w:val="24"/>
          <w:szCs w:val="24"/>
          <w:lang w:eastAsia="ru-RU"/>
        </w:rPr>
        <w:t>Оборудование и реактивы</w:t>
      </w:r>
      <w:r w:rsidRPr="001B58E1">
        <w:rPr>
          <w:rFonts w:ascii="Arial" w:eastAsia="Times New Roman" w:hAnsi="Arial" w:cs="Arial"/>
          <w:color w:val="000000"/>
          <w:sz w:val="24"/>
          <w:szCs w:val="24"/>
          <w:lang w:eastAsia="ru-RU"/>
        </w:rPr>
        <w:t>. </w:t>
      </w:r>
      <w:r w:rsidRPr="001B58E1">
        <w:rPr>
          <w:rFonts w:ascii="Arial" w:eastAsia="Times New Roman" w:hAnsi="Arial" w:cs="Arial"/>
          <w:i/>
          <w:iCs/>
          <w:color w:val="000000"/>
          <w:sz w:val="24"/>
          <w:szCs w:val="24"/>
          <w:lang w:eastAsia="ru-RU"/>
        </w:rPr>
        <w:t>В штативе</w:t>
      </w:r>
      <w:r w:rsidRPr="001B58E1">
        <w:rPr>
          <w:rFonts w:ascii="Arial" w:eastAsia="Times New Roman" w:hAnsi="Arial" w:cs="Arial"/>
          <w:color w:val="000000"/>
          <w:sz w:val="24"/>
          <w:szCs w:val="24"/>
          <w:lang w:eastAsia="ru-RU"/>
        </w:rPr>
        <w:t xml:space="preserve">: </w:t>
      </w:r>
      <w:proofErr w:type="spellStart"/>
      <w:r w:rsidRPr="001B58E1">
        <w:rPr>
          <w:rFonts w:ascii="Arial" w:eastAsia="Times New Roman" w:hAnsi="Arial" w:cs="Arial"/>
          <w:color w:val="000000"/>
          <w:sz w:val="24"/>
          <w:szCs w:val="24"/>
          <w:lang w:eastAsia="ru-RU"/>
        </w:rPr>
        <w:t>дигидроантимонат</w:t>
      </w:r>
      <w:proofErr w:type="spellEnd"/>
      <w:r w:rsidRPr="001B58E1">
        <w:rPr>
          <w:rFonts w:ascii="Arial" w:eastAsia="Times New Roman" w:hAnsi="Arial" w:cs="Arial"/>
          <w:color w:val="000000"/>
          <w:sz w:val="24"/>
          <w:szCs w:val="24"/>
          <w:lang w:eastAsia="ru-RU"/>
        </w:rPr>
        <w:t xml:space="preserve"> натрия, йодид калия, гидроксид аммония, гидроксид натрия, гидроксид калия – 5% растворы. </w:t>
      </w:r>
      <w:r w:rsidRPr="001B58E1">
        <w:rPr>
          <w:rFonts w:ascii="Arial" w:eastAsia="Times New Roman" w:hAnsi="Arial" w:cs="Arial"/>
          <w:i/>
          <w:iCs/>
          <w:color w:val="000000"/>
          <w:sz w:val="24"/>
          <w:szCs w:val="24"/>
          <w:lang w:eastAsia="ru-RU"/>
        </w:rPr>
        <w:t>В лаборатории</w:t>
      </w:r>
      <w:r w:rsidRPr="001B58E1">
        <w:rPr>
          <w:rFonts w:ascii="Arial" w:eastAsia="Times New Roman" w:hAnsi="Arial" w:cs="Arial"/>
          <w:color w:val="000000"/>
          <w:sz w:val="24"/>
          <w:szCs w:val="24"/>
          <w:lang w:eastAsia="ru-RU"/>
        </w:rPr>
        <w:t>: держатель для пробирок, воронка, фильтры. </w:t>
      </w:r>
      <w:proofErr w:type="gramStart"/>
      <w:r w:rsidRPr="001B58E1">
        <w:rPr>
          <w:rFonts w:ascii="Arial" w:eastAsia="Times New Roman" w:hAnsi="Arial" w:cs="Arial"/>
          <w:i/>
          <w:iCs/>
          <w:color w:val="000000"/>
          <w:sz w:val="24"/>
          <w:szCs w:val="24"/>
          <w:lang w:eastAsia="ru-RU"/>
        </w:rPr>
        <w:t>В вытяжном шкафу</w:t>
      </w:r>
      <w:r w:rsidRPr="001B58E1">
        <w:rPr>
          <w:rFonts w:ascii="Arial" w:eastAsia="Times New Roman" w:hAnsi="Arial" w:cs="Arial"/>
          <w:color w:val="000000"/>
          <w:sz w:val="24"/>
          <w:szCs w:val="24"/>
          <w:lang w:eastAsia="ru-RU"/>
        </w:rPr>
        <w:t>: соляная кислота, азотная кислота – 2 н. растворы; гидроксид калия, гидроксид натрия – 6 н. растворы; гидроксид аммония – концентрированный раствор.</w:t>
      </w:r>
      <w:proofErr w:type="gramEnd"/>
      <w:r w:rsidRPr="001B58E1">
        <w:rPr>
          <w:rFonts w:ascii="Arial" w:eastAsia="Times New Roman" w:hAnsi="Arial" w:cs="Arial"/>
          <w:color w:val="000000"/>
          <w:sz w:val="24"/>
          <w:szCs w:val="24"/>
          <w:lang w:eastAsia="ru-RU"/>
        </w:rPr>
        <w:t> </w:t>
      </w:r>
      <w:r w:rsidRPr="001B58E1">
        <w:rPr>
          <w:rFonts w:ascii="Arial" w:eastAsia="Times New Roman" w:hAnsi="Arial" w:cs="Arial"/>
          <w:i/>
          <w:iCs/>
          <w:color w:val="000000"/>
          <w:sz w:val="24"/>
          <w:szCs w:val="24"/>
          <w:lang w:eastAsia="ru-RU"/>
        </w:rPr>
        <w:t xml:space="preserve">Получать </w:t>
      </w:r>
      <w:proofErr w:type="gramStart"/>
      <w:r w:rsidRPr="001B58E1">
        <w:rPr>
          <w:rFonts w:ascii="Arial" w:eastAsia="Times New Roman" w:hAnsi="Arial" w:cs="Arial"/>
          <w:i/>
          <w:iCs/>
          <w:color w:val="000000"/>
          <w:sz w:val="24"/>
          <w:szCs w:val="24"/>
          <w:lang w:eastAsia="ru-RU"/>
        </w:rPr>
        <w:t>в</w:t>
      </w:r>
      <w:proofErr w:type="gramEnd"/>
      <w:r w:rsidRPr="001B58E1">
        <w:rPr>
          <w:rFonts w:ascii="Arial" w:eastAsia="Times New Roman" w:hAnsi="Arial" w:cs="Arial"/>
          <w:i/>
          <w:iCs/>
          <w:color w:val="000000"/>
          <w:sz w:val="24"/>
          <w:szCs w:val="24"/>
          <w:lang w:eastAsia="ru-RU"/>
        </w:rPr>
        <w:t xml:space="preserve"> </w:t>
      </w:r>
      <w:proofErr w:type="gramStart"/>
      <w:r w:rsidRPr="001B58E1">
        <w:rPr>
          <w:rFonts w:ascii="Arial" w:eastAsia="Times New Roman" w:hAnsi="Arial" w:cs="Arial"/>
          <w:i/>
          <w:iCs/>
          <w:color w:val="000000"/>
          <w:sz w:val="24"/>
          <w:szCs w:val="24"/>
          <w:lang w:eastAsia="ru-RU"/>
        </w:rPr>
        <w:t>лаборантской</w:t>
      </w:r>
      <w:proofErr w:type="gramEnd"/>
      <w:r w:rsidRPr="001B58E1">
        <w:rPr>
          <w:rFonts w:ascii="Arial" w:eastAsia="Times New Roman" w:hAnsi="Arial" w:cs="Arial"/>
          <w:color w:val="000000"/>
          <w:sz w:val="24"/>
          <w:szCs w:val="24"/>
          <w:lang w:eastAsia="ru-RU"/>
        </w:rPr>
        <w:t xml:space="preserve">: </w:t>
      </w:r>
      <w:proofErr w:type="spellStart"/>
      <w:r w:rsidRPr="001B58E1">
        <w:rPr>
          <w:rFonts w:ascii="Arial" w:eastAsia="Times New Roman" w:hAnsi="Arial" w:cs="Arial"/>
          <w:color w:val="000000"/>
          <w:sz w:val="24"/>
          <w:szCs w:val="24"/>
          <w:lang w:eastAsia="ru-RU"/>
        </w:rPr>
        <w:t>гексанитрокобальтат</w:t>
      </w:r>
      <w:proofErr w:type="spellEnd"/>
      <w:r w:rsidRPr="001B58E1">
        <w:rPr>
          <w:rFonts w:ascii="Arial" w:eastAsia="Times New Roman" w:hAnsi="Arial" w:cs="Arial"/>
          <w:color w:val="000000"/>
          <w:sz w:val="24"/>
          <w:szCs w:val="24"/>
          <w:lang w:eastAsia="ru-RU"/>
        </w:rPr>
        <w:t xml:space="preserve"> натрия, реактив </w:t>
      </w:r>
      <w:proofErr w:type="spellStart"/>
      <w:r w:rsidRPr="001B58E1">
        <w:rPr>
          <w:rFonts w:ascii="Arial" w:eastAsia="Times New Roman" w:hAnsi="Arial" w:cs="Arial"/>
          <w:color w:val="000000"/>
          <w:sz w:val="24"/>
          <w:szCs w:val="24"/>
          <w:lang w:eastAsia="ru-RU"/>
        </w:rPr>
        <w:t>Несслера</w:t>
      </w:r>
      <w:proofErr w:type="spellEnd"/>
      <w:r w:rsidRPr="001B58E1">
        <w:rPr>
          <w:rFonts w:ascii="Arial" w:eastAsia="Times New Roman" w:hAnsi="Arial" w:cs="Arial"/>
          <w:color w:val="000000"/>
          <w:sz w:val="24"/>
          <w:szCs w:val="24"/>
          <w:lang w:eastAsia="ru-RU"/>
        </w:rPr>
        <w:t>, индикаторная бумага, пробирки, стеклянные палочки.</w:t>
      </w:r>
    </w:p>
    <w:p w:rsidR="001B58E1" w:rsidRPr="001B58E1" w:rsidRDefault="001B58E1" w:rsidP="001B58E1">
      <w:pPr>
        <w:spacing w:before="100" w:beforeAutospacing="1" w:after="100" w:afterAutospacing="1" w:line="240" w:lineRule="auto"/>
        <w:rPr>
          <w:rFonts w:ascii="Arial" w:eastAsia="Times New Roman" w:hAnsi="Arial" w:cs="Arial"/>
          <w:color w:val="000000"/>
          <w:sz w:val="24"/>
          <w:szCs w:val="24"/>
          <w:lang w:eastAsia="ru-RU"/>
        </w:rPr>
      </w:pPr>
      <w:r w:rsidRPr="001B58E1">
        <w:rPr>
          <w:rFonts w:ascii="Arial" w:eastAsia="Times New Roman" w:hAnsi="Arial" w:cs="Arial"/>
          <w:b/>
          <w:bCs/>
          <w:color w:val="000000"/>
          <w:sz w:val="24"/>
          <w:szCs w:val="24"/>
          <w:lang w:eastAsia="ru-RU"/>
        </w:rPr>
        <w:t>Выполнение анализа</w:t>
      </w:r>
    </w:p>
    <w:p w:rsidR="001B58E1" w:rsidRPr="001B58E1" w:rsidRDefault="001B58E1" w:rsidP="001B58E1">
      <w:pPr>
        <w:spacing w:before="100" w:beforeAutospacing="1" w:after="100" w:afterAutospacing="1" w:line="240" w:lineRule="auto"/>
        <w:rPr>
          <w:rFonts w:ascii="Arial" w:eastAsia="Times New Roman" w:hAnsi="Arial" w:cs="Arial"/>
          <w:color w:val="000000"/>
          <w:sz w:val="24"/>
          <w:szCs w:val="24"/>
          <w:lang w:eastAsia="ru-RU"/>
        </w:rPr>
      </w:pPr>
      <w:r w:rsidRPr="001B58E1">
        <w:rPr>
          <w:rFonts w:ascii="Arial" w:eastAsia="Times New Roman" w:hAnsi="Arial" w:cs="Arial"/>
          <w:color w:val="000000"/>
          <w:sz w:val="24"/>
          <w:szCs w:val="24"/>
          <w:lang w:eastAsia="ru-RU"/>
        </w:rPr>
        <w:t>Общая схема анализа смеси катионов I и II аналитических групп показана на рис. 5.</w:t>
      </w:r>
    </w:p>
    <w:p w:rsidR="001B58E1" w:rsidRPr="001B58E1" w:rsidRDefault="001B58E1" w:rsidP="001B58E1">
      <w:pPr>
        <w:spacing w:before="100" w:beforeAutospacing="1" w:after="100" w:afterAutospacing="1" w:line="240" w:lineRule="auto"/>
        <w:rPr>
          <w:rFonts w:ascii="Arial" w:eastAsia="Times New Roman" w:hAnsi="Arial" w:cs="Arial"/>
          <w:color w:val="000000"/>
          <w:sz w:val="24"/>
          <w:szCs w:val="24"/>
          <w:lang w:eastAsia="ru-RU"/>
        </w:rPr>
      </w:pPr>
      <w:r w:rsidRPr="001B58E1">
        <w:rPr>
          <w:rFonts w:ascii="Arial" w:eastAsia="Times New Roman" w:hAnsi="Arial" w:cs="Arial"/>
          <w:color w:val="000000"/>
          <w:sz w:val="24"/>
          <w:szCs w:val="24"/>
          <w:lang w:eastAsia="ru-RU"/>
        </w:rPr>
        <w:t>1. Провести предварительные испытания на наличие в растворе катиона Hg</w:t>
      </w:r>
      <w:r w:rsidRPr="001B58E1">
        <w:rPr>
          <w:rFonts w:ascii="Arial" w:eastAsia="Times New Roman" w:hAnsi="Arial" w:cs="Arial"/>
          <w:color w:val="000000"/>
          <w:sz w:val="24"/>
          <w:szCs w:val="24"/>
          <w:vertAlign w:val="subscript"/>
          <w:lang w:eastAsia="ru-RU"/>
        </w:rPr>
        <w:t>2</w:t>
      </w:r>
      <w:r w:rsidRPr="001B58E1">
        <w:rPr>
          <w:rFonts w:ascii="Arial" w:eastAsia="Times New Roman" w:hAnsi="Arial" w:cs="Arial"/>
          <w:color w:val="000000"/>
          <w:sz w:val="24"/>
          <w:szCs w:val="24"/>
          <w:vertAlign w:val="superscript"/>
          <w:lang w:eastAsia="ru-RU"/>
        </w:rPr>
        <w:t>2+</w:t>
      </w:r>
      <w:r w:rsidRPr="001B58E1">
        <w:rPr>
          <w:rFonts w:ascii="Arial" w:eastAsia="Times New Roman" w:hAnsi="Arial" w:cs="Arial"/>
          <w:color w:val="000000"/>
          <w:sz w:val="24"/>
          <w:szCs w:val="24"/>
          <w:lang w:eastAsia="ru-RU"/>
        </w:rPr>
        <w:t>.</w:t>
      </w:r>
    </w:p>
    <w:p w:rsidR="001B58E1" w:rsidRPr="001B58E1" w:rsidRDefault="001B58E1" w:rsidP="001B58E1">
      <w:pPr>
        <w:spacing w:before="100" w:beforeAutospacing="1" w:after="100" w:afterAutospacing="1" w:line="240" w:lineRule="auto"/>
        <w:rPr>
          <w:rFonts w:ascii="Arial" w:eastAsia="Times New Roman" w:hAnsi="Arial" w:cs="Arial"/>
          <w:color w:val="000000"/>
          <w:sz w:val="24"/>
          <w:szCs w:val="24"/>
          <w:lang w:eastAsia="ru-RU"/>
        </w:rPr>
      </w:pPr>
      <w:r w:rsidRPr="001B58E1">
        <w:rPr>
          <w:rFonts w:ascii="Arial" w:eastAsia="Times New Roman" w:hAnsi="Arial" w:cs="Arial"/>
          <w:color w:val="000000"/>
          <w:sz w:val="24"/>
          <w:szCs w:val="24"/>
          <w:lang w:eastAsia="ru-RU"/>
        </w:rPr>
        <w:t>2. Разделить катионы I и II аналитических групп действием соляной кислоты и проверить полноту осаждения катионов II аналитической группы.</w:t>
      </w:r>
    </w:p>
    <w:p w:rsidR="001B58E1" w:rsidRPr="001B58E1" w:rsidRDefault="001B58E1" w:rsidP="001B58E1">
      <w:pPr>
        <w:spacing w:before="100" w:beforeAutospacing="1" w:after="100" w:afterAutospacing="1" w:line="240" w:lineRule="auto"/>
        <w:rPr>
          <w:rFonts w:ascii="Arial" w:eastAsia="Times New Roman" w:hAnsi="Arial" w:cs="Arial"/>
          <w:color w:val="000000"/>
          <w:sz w:val="24"/>
          <w:szCs w:val="24"/>
          <w:lang w:eastAsia="ru-RU"/>
        </w:rPr>
      </w:pPr>
      <w:r w:rsidRPr="001B58E1">
        <w:rPr>
          <w:rFonts w:ascii="Arial" w:eastAsia="Times New Roman" w:hAnsi="Arial" w:cs="Arial"/>
          <w:b/>
          <w:bCs/>
          <w:i/>
          <w:iCs/>
          <w:color w:val="000000"/>
          <w:sz w:val="24"/>
          <w:szCs w:val="24"/>
          <w:lang w:eastAsia="ru-RU"/>
        </w:rPr>
        <w:t>Примечание. </w:t>
      </w:r>
      <w:r w:rsidRPr="001B58E1">
        <w:rPr>
          <w:rFonts w:ascii="Arial" w:eastAsia="Times New Roman" w:hAnsi="Arial" w:cs="Arial"/>
          <w:color w:val="000000"/>
          <w:sz w:val="24"/>
          <w:szCs w:val="24"/>
          <w:lang w:eastAsia="ru-RU"/>
        </w:rPr>
        <w:t>Если при добавлении соляной кислоты образовался осадок, то выполнить анализ осадка катионов II аналитической группы по п. 3. Если осадка не наблюдается, то можно выполнить дробный анализ раствора на содержание катионов I аналитической группы по схеме рис. 4 (см. п. 4).</w:t>
      </w:r>
    </w:p>
    <w:p w:rsidR="001B58E1" w:rsidRPr="001B58E1" w:rsidRDefault="001B58E1" w:rsidP="001B58E1">
      <w:pPr>
        <w:spacing w:before="100" w:beforeAutospacing="1" w:after="100" w:afterAutospacing="1" w:line="240" w:lineRule="auto"/>
        <w:rPr>
          <w:rFonts w:ascii="Arial" w:eastAsia="Times New Roman" w:hAnsi="Arial" w:cs="Arial"/>
          <w:color w:val="000000"/>
          <w:sz w:val="24"/>
          <w:szCs w:val="24"/>
          <w:lang w:eastAsia="ru-RU"/>
        </w:rPr>
      </w:pPr>
      <w:r w:rsidRPr="001B58E1">
        <w:rPr>
          <w:rFonts w:ascii="Arial" w:eastAsia="Times New Roman" w:hAnsi="Arial" w:cs="Arial"/>
          <w:color w:val="000000"/>
          <w:sz w:val="24"/>
          <w:szCs w:val="24"/>
          <w:lang w:eastAsia="ru-RU"/>
        </w:rPr>
        <w:t>3. Выполнение анализа осадка II аналитической группы. Схема анализа осадка показана на рис. 3. Осадок обрабатывают последовательно</w:t>
      </w:r>
    </w:p>
    <w:p w:rsidR="001B58E1" w:rsidRPr="001B58E1" w:rsidRDefault="001B58E1" w:rsidP="001B58E1">
      <w:pPr>
        <w:spacing w:before="100" w:beforeAutospacing="1" w:after="100" w:afterAutospacing="1" w:line="240" w:lineRule="auto"/>
        <w:rPr>
          <w:rFonts w:ascii="Arial" w:eastAsia="Times New Roman" w:hAnsi="Arial" w:cs="Arial"/>
          <w:color w:val="000000"/>
          <w:sz w:val="24"/>
          <w:szCs w:val="24"/>
          <w:lang w:eastAsia="ru-RU"/>
        </w:rPr>
      </w:pPr>
      <w:r w:rsidRPr="001B58E1">
        <w:rPr>
          <w:rFonts w:ascii="Arial" w:eastAsia="Times New Roman" w:hAnsi="Arial" w:cs="Arial"/>
          <w:color w:val="000000"/>
          <w:sz w:val="24"/>
          <w:szCs w:val="24"/>
          <w:lang w:eastAsia="ru-RU"/>
        </w:rPr>
        <w:t>= горячей водой; в фильтрате проводят качественную реакцию на катион Pb</w:t>
      </w:r>
      <w:r w:rsidRPr="001B58E1">
        <w:rPr>
          <w:rFonts w:ascii="Arial" w:eastAsia="Times New Roman" w:hAnsi="Arial" w:cs="Arial"/>
          <w:color w:val="000000"/>
          <w:sz w:val="24"/>
          <w:szCs w:val="24"/>
          <w:vertAlign w:val="superscript"/>
          <w:lang w:eastAsia="ru-RU"/>
        </w:rPr>
        <w:t>2+</w:t>
      </w:r>
      <w:r w:rsidRPr="001B58E1">
        <w:rPr>
          <w:rFonts w:ascii="Arial" w:eastAsia="Times New Roman" w:hAnsi="Arial" w:cs="Arial"/>
          <w:color w:val="000000"/>
          <w:sz w:val="24"/>
          <w:szCs w:val="24"/>
          <w:lang w:eastAsia="ru-RU"/>
        </w:rPr>
        <w:t>;</w:t>
      </w:r>
    </w:p>
    <w:p w:rsidR="001B58E1" w:rsidRPr="001B58E1" w:rsidRDefault="001B58E1" w:rsidP="001B58E1">
      <w:pPr>
        <w:spacing w:before="100" w:beforeAutospacing="1" w:after="100" w:afterAutospacing="1" w:line="240" w:lineRule="auto"/>
        <w:rPr>
          <w:rFonts w:ascii="Arial" w:eastAsia="Times New Roman" w:hAnsi="Arial" w:cs="Arial"/>
          <w:color w:val="000000"/>
          <w:sz w:val="24"/>
          <w:szCs w:val="24"/>
          <w:lang w:eastAsia="ru-RU"/>
        </w:rPr>
      </w:pPr>
      <w:r w:rsidRPr="001B58E1">
        <w:rPr>
          <w:rFonts w:ascii="Arial" w:eastAsia="Times New Roman" w:hAnsi="Arial" w:cs="Arial"/>
          <w:color w:val="000000"/>
          <w:sz w:val="24"/>
          <w:szCs w:val="24"/>
          <w:lang w:eastAsia="ru-RU"/>
        </w:rPr>
        <w:t xml:space="preserve">= раствором аммиака; в фильтрате после его подкисления азотной кислотой проводят качественную реакцию на катион </w:t>
      </w:r>
      <w:proofErr w:type="spellStart"/>
      <w:r w:rsidRPr="001B58E1">
        <w:rPr>
          <w:rFonts w:ascii="Arial" w:eastAsia="Times New Roman" w:hAnsi="Arial" w:cs="Arial"/>
          <w:color w:val="000000"/>
          <w:sz w:val="24"/>
          <w:szCs w:val="24"/>
          <w:lang w:eastAsia="ru-RU"/>
        </w:rPr>
        <w:t>Ag</w:t>
      </w:r>
      <w:proofErr w:type="spellEnd"/>
      <w:r w:rsidRPr="001B58E1">
        <w:rPr>
          <w:rFonts w:ascii="Arial" w:eastAsia="Times New Roman" w:hAnsi="Arial" w:cs="Arial"/>
          <w:color w:val="000000"/>
          <w:sz w:val="24"/>
          <w:szCs w:val="24"/>
          <w:vertAlign w:val="superscript"/>
          <w:lang w:eastAsia="ru-RU"/>
        </w:rPr>
        <w:t>+</w:t>
      </w:r>
      <w:r w:rsidRPr="001B58E1">
        <w:rPr>
          <w:rFonts w:ascii="Arial" w:eastAsia="Times New Roman" w:hAnsi="Arial" w:cs="Arial"/>
          <w:color w:val="000000"/>
          <w:sz w:val="24"/>
          <w:szCs w:val="24"/>
          <w:lang w:eastAsia="ru-RU"/>
        </w:rPr>
        <w:t>;</w:t>
      </w:r>
    </w:p>
    <w:p w:rsidR="001B58E1" w:rsidRPr="001B58E1" w:rsidRDefault="001B58E1" w:rsidP="001B58E1">
      <w:pPr>
        <w:spacing w:before="100" w:beforeAutospacing="1" w:after="100" w:afterAutospacing="1" w:line="240" w:lineRule="auto"/>
        <w:rPr>
          <w:rFonts w:ascii="Arial" w:eastAsia="Times New Roman" w:hAnsi="Arial" w:cs="Arial"/>
          <w:color w:val="000000"/>
          <w:sz w:val="24"/>
          <w:szCs w:val="24"/>
          <w:lang w:eastAsia="ru-RU"/>
        </w:rPr>
      </w:pPr>
      <w:r w:rsidRPr="001B58E1">
        <w:rPr>
          <w:rFonts w:ascii="Arial" w:eastAsia="Times New Roman" w:hAnsi="Arial" w:cs="Arial"/>
          <w:color w:val="000000"/>
          <w:sz w:val="24"/>
          <w:szCs w:val="24"/>
          <w:lang w:eastAsia="ru-RU"/>
        </w:rPr>
        <w:t>Если после всех проведенных операций на фильтре останется темный осадок, то это свидетельствует о наличии в растворе катионов</w:t>
      </w:r>
      <w:proofErr w:type="gramStart"/>
      <w:r w:rsidRPr="001B58E1">
        <w:rPr>
          <w:rFonts w:ascii="Arial" w:eastAsia="Times New Roman" w:hAnsi="Arial" w:cs="Arial"/>
          <w:color w:val="000000"/>
          <w:sz w:val="24"/>
          <w:szCs w:val="24"/>
          <w:lang w:eastAsia="ru-RU"/>
        </w:rPr>
        <w:t xml:space="preserve"> .</w:t>
      </w:r>
      <w:proofErr w:type="gramEnd"/>
    </w:p>
    <w:p w:rsidR="001B58E1" w:rsidRPr="001B58E1" w:rsidRDefault="001B58E1" w:rsidP="001B58E1">
      <w:pPr>
        <w:spacing w:before="100" w:beforeAutospacing="1" w:after="100" w:afterAutospacing="1" w:line="240" w:lineRule="auto"/>
        <w:rPr>
          <w:rFonts w:ascii="Arial" w:eastAsia="Times New Roman" w:hAnsi="Arial" w:cs="Arial"/>
          <w:color w:val="000000"/>
          <w:sz w:val="24"/>
          <w:szCs w:val="24"/>
          <w:lang w:eastAsia="ru-RU"/>
        </w:rPr>
      </w:pPr>
      <w:r w:rsidRPr="001B58E1">
        <w:rPr>
          <w:rFonts w:ascii="Arial" w:eastAsia="Times New Roman" w:hAnsi="Arial" w:cs="Arial"/>
          <w:color w:val="000000"/>
          <w:sz w:val="24"/>
          <w:szCs w:val="24"/>
          <w:lang w:eastAsia="ru-RU"/>
        </w:rPr>
        <w:t>4. Анализ раствора смеси катионов I аналитической группы. В пробирки отобрать порции раствора после отделения катионов II аналитической группы (если катионы II аналитической группы отсутствуют, можно отобрать порции пробы раствор для анализа). Проверить рН растворов и провести, если требуется, нейтрализацию растворов до рН = 6-7. Провести соответствующие качественные реакции.</w:t>
      </w:r>
    </w:p>
    <w:p w:rsidR="001B58E1" w:rsidRPr="001B58E1" w:rsidRDefault="001B58E1" w:rsidP="001B58E1">
      <w:pPr>
        <w:spacing w:before="100" w:beforeAutospacing="1" w:after="100" w:afterAutospacing="1" w:line="240" w:lineRule="auto"/>
        <w:rPr>
          <w:rFonts w:ascii="Arial" w:eastAsia="Times New Roman" w:hAnsi="Arial" w:cs="Arial"/>
          <w:color w:val="000000"/>
          <w:sz w:val="24"/>
          <w:szCs w:val="24"/>
          <w:lang w:eastAsia="ru-RU"/>
        </w:rPr>
      </w:pPr>
      <w:r w:rsidRPr="001B58E1">
        <w:rPr>
          <w:rFonts w:ascii="Arial" w:eastAsia="Times New Roman" w:hAnsi="Arial" w:cs="Arial"/>
          <w:b/>
          <w:bCs/>
          <w:i/>
          <w:iCs/>
          <w:color w:val="000000"/>
          <w:sz w:val="24"/>
          <w:szCs w:val="24"/>
          <w:lang w:eastAsia="ru-RU"/>
        </w:rPr>
        <w:t>Примечание</w:t>
      </w:r>
      <w:r w:rsidRPr="001B58E1">
        <w:rPr>
          <w:rFonts w:ascii="Arial" w:eastAsia="Times New Roman" w:hAnsi="Arial" w:cs="Arial"/>
          <w:color w:val="000000"/>
          <w:sz w:val="24"/>
          <w:szCs w:val="24"/>
          <w:lang w:eastAsia="ru-RU"/>
        </w:rPr>
        <w:t xml:space="preserve">. Нейтрализацию раствора для анализа </w:t>
      </w:r>
      <w:proofErr w:type="spellStart"/>
      <w:r w:rsidRPr="001B58E1">
        <w:rPr>
          <w:rFonts w:ascii="Arial" w:eastAsia="Times New Roman" w:hAnsi="Arial" w:cs="Arial"/>
          <w:color w:val="000000"/>
          <w:sz w:val="24"/>
          <w:szCs w:val="24"/>
          <w:lang w:eastAsia="ru-RU"/>
        </w:rPr>
        <w:t>Na</w:t>
      </w:r>
      <w:proofErr w:type="spellEnd"/>
      <w:r w:rsidRPr="001B58E1">
        <w:rPr>
          <w:rFonts w:ascii="Arial" w:eastAsia="Times New Roman" w:hAnsi="Arial" w:cs="Arial"/>
          <w:color w:val="000000"/>
          <w:sz w:val="24"/>
          <w:szCs w:val="24"/>
          <w:vertAlign w:val="superscript"/>
          <w:lang w:eastAsia="ru-RU"/>
        </w:rPr>
        <w:t>+</w:t>
      </w:r>
      <w:r w:rsidRPr="001B58E1">
        <w:rPr>
          <w:rFonts w:ascii="Arial" w:eastAsia="Times New Roman" w:hAnsi="Arial" w:cs="Arial"/>
          <w:color w:val="000000"/>
          <w:sz w:val="24"/>
          <w:szCs w:val="24"/>
          <w:lang w:eastAsia="ru-RU"/>
        </w:rPr>
        <w:t> следует проводить гидроксидом калия; нейтрализацию раствора для анализа K</w:t>
      </w:r>
      <w:r w:rsidRPr="001B58E1">
        <w:rPr>
          <w:rFonts w:ascii="Arial" w:eastAsia="Times New Roman" w:hAnsi="Arial" w:cs="Arial"/>
          <w:color w:val="000000"/>
          <w:sz w:val="24"/>
          <w:szCs w:val="24"/>
          <w:vertAlign w:val="superscript"/>
          <w:lang w:eastAsia="ru-RU"/>
        </w:rPr>
        <w:t>+</w:t>
      </w:r>
      <w:r w:rsidRPr="001B58E1">
        <w:rPr>
          <w:rFonts w:ascii="Arial" w:eastAsia="Times New Roman" w:hAnsi="Arial" w:cs="Arial"/>
          <w:color w:val="000000"/>
          <w:sz w:val="24"/>
          <w:szCs w:val="24"/>
          <w:lang w:eastAsia="ru-RU"/>
        </w:rPr>
        <w:t> следует проводить гидроксидом натрия.</w:t>
      </w:r>
    </w:p>
    <w:p w:rsidR="00A561AB" w:rsidRDefault="001B58E1">
      <w:r>
        <w:rPr>
          <w:noProof/>
          <w:lang w:eastAsia="ru-RU"/>
        </w:rPr>
        <w:lastRenderedPageBreak/>
        <w:drawing>
          <wp:inline distT="0" distB="0" distL="0" distR="0">
            <wp:extent cx="4191000" cy="3352800"/>
            <wp:effectExtent l="0" t="0" r="0" b="0"/>
            <wp:docPr id="1" name="Рисунок 1" descr="https://studfile.net/html/2706/238/html_FWBX1Ge85r.SHZf/htmlconvd-pjrNRl_html_b06efff4a18abc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238/html_FWBX1Ge85r.SHZf/htmlconvd-pjrNRl_html_b06efff4a18abc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0" cy="3352800"/>
                    </a:xfrm>
                    <a:prstGeom prst="rect">
                      <a:avLst/>
                    </a:prstGeom>
                    <a:noFill/>
                    <a:ln>
                      <a:noFill/>
                    </a:ln>
                  </pic:spPr>
                </pic:pic>
              </a:graphicData>
            </a:graphic>
          </wp:inline>
        </w:drawing>
      </w:r>
      <w:r w:rsidR="00F83DD7" w:rsidRPr="00F83DD7">
        <w:rPr>
          <w:rFonts w:ascii="Arial" w:hAnsi="Arial" w:cs="Arial"/>
          <w:color w:val="000000"/>
        </w:rPr>
        <w:t xml:space="preserve"> </w:t>
      </w:r>
      <w:r w:rsidR="00F83DD7">
        <w:rPr>
          <w:rFonts w:ascii="Arial" w:hAnsi="Arial" w:cs="Arial"/>
          <w:color w:val="000000"/>
        </w:rPr>
        <w:t> Схема анализа смеси катионов I и II аналитических групп.</w:t>
      </w:r>
      <w:bookmarkStart w:id="0" w:name="_GoBack"/>
      <w:bookmarkEnd w:id="0"/>
    </w:p>
    <w:sectPr w:rsidR="00A561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B5E"/>
    <w:rsid w:val="00115B5E"/>
    <w:rsid w:val="001B58E1"/>
    <w:rsid w:val="00A561AB"/>
    <w:rsid w:val="00F83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58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58E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B58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B58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58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58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58E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B58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B58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58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2026-01-18T09:05:00Z</dcterms:created>
  <dcterms:modified xsi:type="dcterms:W3CDTF">2026-01-18T09:12:00Z</dcterms:modified>
</cp:coreProperties>
</file>