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10B" w:rsidRDefault="007F2DB8" w:rsidP="0094112A">
      <w:pPr>
        <w:pStyle w:val="a3"/>
        <w:spacing w:after="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7F2DB8">
        <w:rPr>
          <w:rFonts w:ascii="Times New Roman" w:eastAsia="Times New Roman" w:hAnsi="Times New Roman"/>
          <w:b/>
          <w:sz w:val="27"/>
          <w:szCs w:val="27"/>
          <w:lang w:eastAsia="ru-RU"/>
        </w:rPr>
        <w:t>20</w:t>
      </w:r>
      <w:r w:rsidR="00C71D39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.01.2026 </w:t>
      </w:r>
      <w:r w:rsidR="005F310B">
        <w:rPr>
          <w:rFonts w:ascii="Times New Roman" w:eastAsia="Times New Roman" w:hAnsi="Times New Roman"/>
          <w:b/>
          <w:sz w:val="27"/>
          <w:szCs w:val="27"/>
          <w:lang w:eastAsia="ru-RU"/>
        </w:rPr>
        <w:t>У</w:t>
      </w:r>
      <w:r w:rsidR="00C632D4" w:rsidRPr="00C632D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П. 01 Практика </w:t>
      </w:r>
      <w:r w:rsidR="00EE5896">
        <w:rPr>
          <w:rFonts w:ascii="Times New Roman" w:eastAsia="Times New Roman" w:hAnsi="Times New Roman"/>
          <w:b/>
          <w:sz w:val="27"/>
          <w:szCs w:val="27"/>
          <w:lang w:eastAsia="ru-RU"/>
        </w:rPr>
        <w:t>учебная</w:t>
      </w:r>
      <w:r w:rsidR="00C632D4" w:rsidRPr="00C632D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 (</w:t>
      </w:r>
      <w:r w:rsidR="00EE5896">
        <w:rPr>
          <w:rFonts w:ascii="Times New Roman" w:eastAsia="Times New Roman" w:hAnsi="Times New Roman"/>
          <w:b/>
          <w:sz w:val="27"/>
          <w:szCs w:val="27"/>
          <w:lang w:eastAsia="ru-RU"/>
        </w:rPr>
        <w:t>ознакомительная</w:t>
      </w:r>
      <w:r w:rsidR="00C632D4" w:rsidRPr="00C632D4"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) </w:t>
      </w:r>
      <w:r w:rsidR="005F310B">
        <w:rPr>
          <w:rFonts w:ascii="Times New Roman" w:eastAsia="Times New Roman" w:hAnsi="Times New Roman"/>
          <w:b/>
          <w:sz w:val="27"/>
          <w:szCs w:val="27"/>
          <w:lang w:eastAsia="ru-RU"/>
        </w:rPr>
        <w:t>–</w:t>
      </w:r>
      <w:r w:rsidR="005F310B">
        <w:rPr>
          <w:rFonts w:ascii="Times New Roman" w:hAnsi="Times New Roman"/>
          <w:b/>
          <w:sz w:val="24"/>
          <w:szCs w:val="24"/>
        </w:rPr>
        <w:t>2 подгрупп</w:t>
      </w:r>
      <w:r w:rsidR="00C71D39">
        <w:rPr>
          <w:rFonts w:ascii="Times New Roman" w:hAnsi="Times New Roman"/>
          <w:b/>
          <w:sz w:val="24"/>
          <w:szCs w:val="24"/>
        </w:rPr>
        <w:t>а</w:t>
      </w:r>
      <w:r w:rsidR="005F310B">
        <w:rPr>
          <w:rFonts w:ascii="Times New Roman" w:hAnsi="Times New Roman"/>
          <w:b/>
          <w:sz w:val="24"/>
          <w:szCs w:val="24"/>
        </w:rPr>
        <w:t xml:space="preserve"> </w:t>
      </w:r>
    </w:p>
    <w:p w:rsidR="005F310B" w:rsidRDefault="00F902C0" w:rsidP="00C71D3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color w:val="C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sz w:val="27"/>
          <w:szCs w:val="27"/>
          <w:lang w:eastAsia="ru-RU"/>
        </w:rPr>
        <w:t xml:space="preserve">Преподаватель </w:t>
      </w:r>
      <w:r w:rsidR="0094112A">
        <w:rPr>
          <w:rFonts w:ascii="Times New Roman" w:eastAsia="Times New Roman" w:hAnsi="Times New Roman"/>
          <w:b/>
          <w:sz w:val="27"/>
          <w:szCs w:val="27"/>
          <w:lang w:eastAsia="ru-RU"/>
        </w:rPr>
        <w:t>Баева Т.Н.</w:t>
      </w:r>
      <w:r>
        <w:rPr>
          <w:rFonts w:ascii="Times New Roman" w:eastAsia="Times New Roman" w:hAnsi="Times New Roman"/>
          <w:b/>
          <w:sz w:val="27"/>
          <w:szCs w:val="27"/>
          <w:lang w:eastAsia="ru-RU"/>
        </w:rPr>
        <w:br/>
      </w:r>
    </w:p>
    <w:p w:rsidR="0094112A" w:rsidRDefault="0094112A" w:rsidP="0094112A">
      <w:pPr>
        <w:pStyle w:val="a3"/>
        <w:spacing w:after="0" w:line="276" w:lineRule="auto"/>
        <w:ind w:left="0"/>
        <w:rPr>
          <w:rFonts w:ascii="Times New Roman" w:eastAsia="Times New Roman" w:hAnsi="Times New Roman"/>
          <w:b/>
          <w:sz w:val="27"/>
          <w:szCs w:val="27"/>
          <w:lang w:eastAsia="ru-RU"/>
        </w:rPr>
      </w:pPr>
    </w:p>
    <w:p w:rsidR="00B27847" w:rsidRPr="00FD132E" w:rsidRDefault="00EA69C4" w:rsidP="00FD132E">
      <w:pPr>
        <w:rPr>
          <w:rFonts w:ascii="Times New Roman" w:hAnsi="Times New Roman" w:cs="Times New Roman"/>
          <w:bCs/>
          <w:sz w:val="24"/>
          <w:szCs w:val="24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Ознакомиться с </w:t>
      </w:r>
      <w:r w:rsidR="007F2DB8">
        <w:rPr>
          <w:rFonts w:ascii="Times New Roman" w:eastAsia="Times New Roman" w:hAnsi="Times New Roman"/>
          <w:sz w:val="24"/>
          <w:szCs w:val="24"/>
          <w:lang w:eastAsia="ru-RU"/>
        </w:rPr>
        <w:t xml:space="preserve"> характеристикой месторождения и </w:t>
      </w:r>
      <w:r w:rsidR="007F2DB8" w:rsidRPr="007F2DB8">
        <w:rPr>
          <w:rFonts w:ascii="Times New Roman" w:hAnsi="Times New Roman" w:cs="Times New Roman"/>
          <w:bCs/>
          <w:sz w:val="24"/>
          <w:szCs w:val="24"/>
        </w:rPr>
        <w:t xml:space="preserve">общими сведениями о сырьевой базе </w:t>
      </w:r>
      <w:r w:rsidR="00FD132E">
        <w:rPr>
          <w:rFonts w:ascii="Times New Roman" w:hAnsi="Times New Roman" w:cs="Times New Roman"/>
          <w:bCs/>
          <w:sz w:val="24"/>
          <w:szCs w:val="24"/>
        </w:rPr>
        <w:t xml:space="preserve">ООО «СУЭК-Хакасия» </w:t>
      </w:r>
      <w:r w:rsidR="00B27847" w:rsidRPr="00FD132E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6343B0" w:rsidRPr="00FD132E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</w:t>
      </w:r>
      <w:r w:rsidR="00B27847" w:rsidRPr="00FD132E">
        <w:rPr>
          <w:rFonts w:ascii="Times New Roman" w:eastAsia="Times New Roman" w:hAnsi="Times New Roman"/>
          <w:sz w:val="24"/>
          <w:szCs w:val="24"/>
          <w:lang w:eastAsia="ru-RU"/>
        </w:rPr>
        <w:t>конспект по указанным пунктам:</w:t>
      </w:r>
    </w:p>
    <w:p w:rsidR="00B27847" w:rsidRPr="006343B0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-общие </w:t>
      </w:r>
      <w:r w:rsidR="00FD132E">
        <w:rPr>
          <w:rFonts w:ascii="Times New Roman" w:eastAsia="Times New Roman" w:hAnsi="Times New Roman"/>
          <w:sz w:val="24"/>
          <w:szCs w:val="24"/>
          <w:lang w:eastAsia="ru-RU"/>
        </w:rPr>
        <w:t>сведения о районе месторождения</w:t>
      </w:r>
      <w:r w:rsidRPr="006343B0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27847" w:rsidRPr="00FD132E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132E">
        <w:rPr>
          <w:rFonts w:ascii="Times New Roman" w:eastAsia="Times New Roman" w:hAnsi="Times New Roman"/>
          <w:sz w:val="24"/>
          <w:szCs w:val="24"/>
          <w:lang w:eastAsia="ru-RU"/>
        </w:rPr>
        <w:t xml:space="preserve"> -</w:t>
      </w:r>
      <w:r w:rsidR="00FD132E" w:rsidRPr="00FD132E">
        <w:rPr>
          <w:rFonts w:ascii="Times New Roman" w:hAnsi="Times New Roman"/>
          <w:sz w:val="24"/>
          <w:szCs w:val="24"/>
        </w:rPr>
        <w:t>х</w:t>
      </w:r>
      <w:r w:rsidR="00FD132E" w:rsidRPr="00FD132E">
        <w:rPr>
          <w:rFonts w:ascii="Times New Roman" w:hAnsi="Times New Roman"/>
          <w:sz w:val="24"/>
          <w:szCs w:val="24"/>
        </w:rPr>
        <w:t>арактеристика пластов Черногорского месторождения</w:t>
      </w:r>
      <w:r w:rsidRPr="00FD132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B27847" w:rsidRPr="00FD132E" w:rsidRDefault="00B27847" w:rsidP="006343B0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132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D132E" w:rsidRPr="00FD132E">
        <w:rPr>
          <w:rFonts w:ascii="Times New Roman" w:hAnsi="Times New Roman"/>
          <w:sz w:val="24"/>
          <w:szCs w:val="24"/>
        </w:rPr>
        <w:t>к</w:t>
      </w:r>
      <w:r w:rsidR="00FD132E" w:rsidRPr="00FD132E">
        <w:rPr>
          <w:rFonts w:ascii="Times New Roman" w:hAnsi="Times New Roman"/>
          <w:sz w:val="24"/>
          <w:szCs w:val="24"/>
        </w:rPr>
        <w:t>ачественная характеристика сырья, поступающая на переработку и продуктов обогащения</w:t>
      </w:r>
      <w:r w:rsidRPr="00FD132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FD132E" w:rsidRDefault="00B27847" w:rsidP="00FD132E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 w:rsidRPr="00FD132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D132E" w:rsidRPr="00FD132E">
        <w:rPr>
          <w:rFonts w:ascii="Times New Roman" w:hAnsi="Times New Roman"/>
          <w:sz w:val="24"/>
          <w:szCs w:val="24"/>
        </w:rPr>
        <w:t xml:space="preserve"> р</w:t>
      </w:r>
      <w:r w:rsidR="00FD132E" w:rsidRPr="00FD132E">
        <w:rPr>
          <w:rFonts w:ascii="Times New Roman" w:hAnsi="Times New Roman"/>
          <w:sz w:val="24"/>
          <w:szCs w:val="24"/>
        </w:rPr>
        <w:t>ежим работы предприятия</w:t>
      </w:r>
      <w:r w:rsidR="00FD132E">
        <w:t>.</w:t>
      </w:r>
      <w:r w:rsidR="00FD132E" w:rsidRPr="006343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E65A6" w:rsidRDefault="00686E09" w:rsidP="00FD132E">
      <w:pPr>
        <w:pStyle w:val="a3"/>
        <w:shd w:val="clear" w:color="auto" w:fill="FFFFFF"/>
        <w:spacing w:after="0"/>
        <w:ind w:left="426" w:hanging="14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работа</w:t>
      </w:r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(на выбор). Подготовить письменно до</w:t>
      </w:r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 xml:space="preserve">клад. Оказание медицинской помощи </w:t>
      </w:r>
      <w:proofErr w:type="gramStart"/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ереломы, </w:t>
      </w:r>
      <w:r w:rsidR="0095216C">
        <w:rPr>
          <w:rFonts w:ascii="Times New Roman" w:eastAsia="Times New Roman" w:hAnsi="Times New Roman"/>
          <w:sz w:val="24"/>
          <w:szCs w:val="24"/>
          <w:lang w:eastAsia="ru-RU"/>
        </w:rPr>
        <w:t>ожоги, поражение электрическим током, отравление и т.д.</w:t>
      </w:r>
    </w:p>
    <w:p w:rsidR="007F2DB8" w:rsidRDefault="007F2DB8" w:rsidP="002C3DF0">
      <w:pPr>
        <w:spacing w:after="0" w:line="240" w:lineRule="auto"/>
        <w:jc w:val="both"/>
      </w:pPr>
      <w:bookmarkStart w:id="0" w:name="_GoBack"/>
      <w:bookmarkEnd w:id="0"/>
    </w:p>
    <w:p w:rsidR="007F2DB8" w:rsidRDefault="007F2DB8" w:rsidP="002C3DF0">
      <w:pPr>
        <w:spacing w:after="0" w:line="240" w:lineRule="auto"/>
        <w:jc w:val="both"/>
      </w:pPr>
    </w:p>
    <w:p w:rsidR="007F2DB8" w:rsidRPr="007F2DB8" w:rsidRDefault="007F2DB8" w:rsidP="007F2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2DB8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РАЙОНЕ МЕСТОРОЖДЕНИЯ</w:t>
      </w:r>
    </w:p>
    <w:p w:rsidR="007F2DB8" w:rsidRPr="007F2DB8" w:rsidRDefault="007F2DB8" w:rsidP="007F2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F2DB8" w:rsidRPr="007F2DB8" w:rsidRDefault="007F2DB8" w:rsidP="007F2DB8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2DB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F2DB8" w:rsidRPr="007A5C9B" w:rsidRDefault="007F2DB8" w:rsidP="007A5C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DB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Черногорское каменноугольное месторождение расположено на северо-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западной окраине Южно-Минусинской котловины, на левом берету реки Енисей, в </w:t>
      </w:r>
      <w:smartTag w:uri="urn:schemas-microsoft-com:office:smarttags" w:element="metricconverter">
        <w:smartTagPr>
          <w:attr w:name="ProductID" w:val="10 к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10 км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к северо-западу от устья реки Абакан.</w:t>
      </w:r>
    </w:p>
    <w:p w:rsidR="007F2DB8" w:rsidRPr="007A5C9B" w:rsidRDefault="007F2DB8" w:rsidP="007A5C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По административному делению входит в состав Усть-Абаканского района республики Хакасия РФ. Ближайшими населенными пунктами являются г. Черногорск (</w:t>
      </w:r>
      <w:smartTag w:uri="urn:schemas-microsoft-com:office:smarttags" w:element="metricconverter">
        <w:smartTagPr>
          <w:attr w:name="ProductID" w:val="12 к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12 км</w:t>
        </w:r>
      </w:smartTag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>еверо-восточнее разреза) и г. Абакан (</w:t>
      </w:r>
      <w:smartTag w:uri="urn:schemas-microsoft-com:office:smarttags" w:element="metricconverter">
        <w:smartTagPr>
          <w:attr w:name="ProductID" w:val="23 к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23 км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 на восток).</w:t>
      </w:r>
    </w:p>
    <w:p w:rsidR="007F2DB8" w:rsidRPr="007A5C9B" w:rsidRDefault="007F2DB8" w:rsidP="007A5C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Геометрически, вся площадь месторождения подразделена на две части: долинную и береговую.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Карьерные поля месторождения располагаются на выходах коренных пород угленосной толщи в пределах береговой части долины.</w:t>
      </w:r>
    </w:p>
    <w:p w:rsidR="007F2DB8" w:rsidRPr="007A5C9B" w:rsidRDefault="007F2DB8" w:rsidP="007A5C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Месторождение входит в состав Минусинского угленосного бассейна, который представляет собой обширную депрессию, располагающуюся между отрогами хребтов Кузнецкого Алатау, Западного и Восточного Саян. Минусинская депрессия разделяется на Северн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>, Средне- и Южно-Минусинскую котловины, различающиеся временем заложения, мощностями, составом осадков и степенью угленосности.</w:t>
      </w:r>
    </w:p>
    <w:p w:rsidR="007F2DB8" w:rsidRPr="007A5C9B" w:rsidRDefault="007F2DB8" w:rsidP="007A5C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Черногорское месторождение находится в пределах Черногорской мульды, являющейся северо-западной частью Южно-Минусинской впадины.</w:t>
      </w:r>
    </w:p>
    <w:p w:rsidR="007F2DB8" w:rsidRPr="007A5C9B" w:rsidRDefault="007F2DB8" w:rsidP="007A5C9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В границах угленосного поля Черногорская мульда имеет овальную форму, вытянута с юго-запада на северо-восток с размерами по длинной оси </w:t>
      </w:r>
      <w:smartTag w:uri="urn:schemas-microsoft-com:office:smarttags" w:element="metricconverter">
        <w:smartTagPr>
          <w:attr w:name="ProductID" w:val="-24 к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-24 км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в по короткой-</w:t>
      </w:r>
      <w:smartTag w:uri="urn:schemas-microsoft-com:office:smarttags" w:element="metricconverter">
        <w:smartTagPr>
          <w:attr w:name="ProductID" w:val="12 к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12 км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F2DB8" w:rsidRPr="007A5C9B" w:rsidRDefault="007F2DB8" w:rsidP="007A5C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Разрез «Черногорский» был построен для добычи угля открытым способом. Горные работы были начаты в 1956 году. Разрезом «Черногорский» отрабатывается юго-западная часть Черногорского месторождения.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>Угленосные отложения Черногорского месторо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дения представлены четырьмя свитами, согласно лежащими одна над др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гой.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Конгломератовая свита является первой (снизу) в продуктивной толще. Мощность её колеблется от 170м до 200м. В состав её входят также крупные пачки алевролитов (8 - 15м), переслаивающиеся с аргиллитами и углистыми аргиллитами. Нижняя граница свиты определяется по почве базального ко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гломерата, верхняя по почве конгломерата, лежащего в основании следующей черногорской свиты. Конгломератовая свита содержит в себе до 17-и тонких угольных пластов, суммарная мощность которых колеблется от 5 до 8м. 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дельные угольные пласты достигают рабочей мощности 1,5-2,5м.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>Черногорская свита имеет мощность до 270-ЗООм. За нижнюю границу свиты принимается мощный слой песчаников (15-40м) преимущественно гр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бозернистых, с включением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гравелитов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и конгломератов в основании. Нижняя половина свиты состоит в большинстве своём из песчаников и але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ролитов с незначительными прослоями угля. На 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Черногорском месторождении свита содержит до 25 пластов угля, из которых основные рабочие пласты приуроч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ны к верхней половине разреза свиты (Непостоянный, Двухаршинный, Вел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кан 1-2, Мощный, Гигант 1-2). Венчает свиту тонкий угольный пласт.</w:t>
      </w:r>
    </w:p>
    <w:p w:rsid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Безугольная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свита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представлена чередованием тёмно-серых аргиллитов, алевролитов и более светлых песчаников. Угольные пласты в этой толще отсутствуют. Прослои песчаников маломощные, обычно от 0,1 до 3,0м. В але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ролитах, аргиллитах и песчаниках часто наблюдаются конкреции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сидеритов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го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состава. В аргиллитах свиты часто встречаются остатки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пелеципод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Толща аргиллитов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безугольной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свиты хорошо выдерживается на площади всего м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сторождения и является хорошим маркирующим горизонтом. Верхняя граница свиты проводится по почве пласта Нового. Свита имеет мо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ность 50-70м. 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Белоярская свита перекрывает </w:t>
      </w:r>
      <w:proofErr w:type="spellStart"/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безугольную</w:t>
      </w:r>
      <w:proofErr w:type="spellEnd"/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и связана с ней постепенным п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реходом. На Черногорском месторождении сохранилась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  <w:u w:val="single"/>
        </w:rPr>
        <w:t>пипп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>ижняя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часть свиты мощностью до 110м. Состоит свита из песчаников, мелко-, средн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и крупно-зернистых алевролитов, реже аргиллитов, углистых аргиллитов и ме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гелей. Наибольшим распространением в свите пользуются песчаники. Нере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ко отмечаются конкреции сидеритов, а также редкие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пропластки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серых пе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ловых туфов мощностью до 1м. В нижней части свиты на месторождении с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держится 6 угольных пластов; два из них имеют рабочую мощность - Малый и Новый.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Общая мощность угленосных отложений на месторождении достигает </w:t>
      </w:r>
      <w:smartTag w:uri="urn:schemas-microsoft-com:office:smarttags" w:element="metricconverter">
        <w:smartTagPr>
          <w:attr w:name="ProductID" w:val="60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600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Глубина залегания основных рабочих пластов не превышает </w:t>
      </w:r>
      <w:smartTag w:uri="urn:schemas-microsoft-com:office:smarttags" w:element="metricconverter">
        <w:smartTagPr>
          <w:attr w:name="ProductID" w:val="30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300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>Четвертичные отложения представлены делювиально-аллювиальными  суглинками и супесями, перекрывающими коренные породы угленосной толщи в северо-западной части месторождения. Мощность супесей и сугли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ков колеблется от 0,5 до </w:t>
      </w:r>
      <w:smartTag w:uri="urn:schemas-microsoft-com:office:smarttags" w:element="metricconverter">
        <w:smartTagPr>
          <w:attr w:name="ProductID" w:val="1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 Юго-восточная, юго-западная и южная части м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сторождения покрыты аллювиальными галечниками и песками долины рек Абакана и Енисея. Мощность их изменяется от 5 до </w:t>
      </w:r>
      <w:smartTag w:uri="urn:schemas-microsoft-com:office:smarttags" w:element="metricconverter">
        <w:smartTagPr>
          <w:attr w:name="ProductID" w:val="4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40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, в отдельных случ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ях достигает 50м.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На Черногорском месторождении замыкаются выходы пластов Малого и Нового (белоярская свита) и пласты Непостоянный, Двухаршинный, а также Великан (черногорская). Нижняя часть разреза черногорской свиты, включая пласт Мощный, открыта в сторону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Изыхской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мульды. Черногорское мест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рождение представляет собой пологую мульду, вытянутую с северо-востока на юго-запад. Угольные пласты характеризуются спокойным залеганием со слабо выраженной волнистостью. Углы падения изменяются от 2 до 10,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вып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лаживание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углов идёт постепенно к оси складки (мульды).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Эксплуатационными выработками на Черногорском месторождении нередко фиксируется мелкая складчатость и наличие дизъюнктивных наруш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ний типа сбросов и надвигов с амплитудой смещения пластов от 1,0 до 3,5м.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Карьерные поля № 20, 21 и 23 расположены в Юго-Западной части мул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ды. Тектоника их довольно проста. Пласты угля характеризуются спокойным м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ноклинальным залеганием с падением к центру мульды. На полях 21,23 и 26 пласты имеют падение 2°-3° и несколько круче на поле 20 -около 5°-6°. Кру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ных тектонических наруше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ний не встречено.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Горными выработками Малого Черногорского разреза и шахты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Ачминдор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установлено несколько нарушений с амплитудой смещения пластов до </w:t>
      </w:r>
      <w:smartTag w:uri="urn:schemas-microsoft-com:office:smarttags" w:element="metricconverter">
        <w:smartTagPr>
          <w:attr w:name="ProductID" w:val="3,5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3,5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5C9B" w:rsidRPr="007A5C9B" w:rsidRDefault="007A5C9B" w:rsidP="007A5C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На отдельных участках разведочными работами установлено горизонтал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ное залегание, а также обратное падение пластов Великан,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Двухаршинного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на их выходах. Такое нарушение в залегании угольных пластов обуславлив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ется выгоранием нижележащих пластов Гиганта и Мощного и проседанием выше лежащих пластов.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Непостоянный венчает разрез черногорской свиты и залегает под мощной толщей тёмно-серых и чёрных аргиллитов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безугольной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свиты. На оцениваемой площади 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имеет рабочую мощность только на отдельных огран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ченных участках. В большинстве случаев пласт имеет простое строение, с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стоит из одной пачки полублестящего угля, реже представлен двумя угол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ными пачками. Мощность пласта изменяется от 0,1 до </w:t>
      </w:r>
      <w:smartTag w:uri="urn:schemas-microsoft-com:office:smarttags" w:element="metricconverter">
        <w:smartTagPr>
          <w:attr w:name="ProductID" w:val="1,9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1,9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и в большинстве своём не превышает </w:t>
      </w:r>
      <w:smartTag w:uri="urn:schemas-microsoft-com:office:smarttags" w:element="metricconverter">
        <w:smartTagPr>
          <w:attr w:name="ProductID" w:val="0,6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0,6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 Из-за ограниченности площадей с рабочей мощн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стью, промышленного значения пласт не имеет.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Двухаршинный залегает ниже пласта Непостоянного на расстоянии 20-</w:t>
      </w:r>
      <w:smartTag w:uri="urn:schemas-microsoft-com:office:smarttags" w:element="metricconverter">
        <w:smartTagPr>
          <w:attr w:name="ProductID" w:val="3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30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Междупластие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представлено в основном крепкими светло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softHyphen/>
        <w:t>-серыми песчаниками и алевролитами, реже аргиллитами. Пласт имеет простое стро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ние, мощность его колеблется от 3,2 до </w:t>
      </w:r>
      <w:smartTag w:uri="urn:schemas-microsoft-com:office:smarttags" w:element="metricconverter">
        <w:smartTagPr>
          <w:attr w:name="ProductID" w:val="0,25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0,25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, в среднем равна </w:t>
      </w:r>
      <w:smartTag w:uri="urn:schemas-microsoft-com:office:smarttags" w:element="metricconverter">
        <w:smartTagPr>
          <w:attr w:name="ProductID" w:val="1,6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1,6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 Пр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мышленное значение он имеет на полях 26 и 23 и в западной части поля 21</w:t>
      </w:r>
      <w:r w:rsidRPr="007A5C9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По направлению к полям 21 и 20 пласт Двухаршинный разделяется на 2-3 угольные пачки и постепенно теряет рабочую мощность. Угли пласта в большинстве своём представлены полублестящими, реже блестящими разн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стями.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Великан на площади представлен двумя сближенными пачками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стоящими от пласта Двухаршинного на расстоянии 8-</w:t>
      </w:r>
      <w:smartTag w:uri="urn:schemas-microsoft-com:office:smarttags" w:element="metricconverter">
        <w:smartTagPr>
          <w:attr w:name="ProductID" w:val="2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20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На большей части площади пласт представлен двумя самостоятельными пачками.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Верхнюю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принято называть Великан-1, нижнюю - Великан-2 (Таблица 1).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Великан-1 как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самостоятельный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выделяется на полях 20, 23 и 26. На поле 21, в юго-восточной части поля 23 и в юго-западной части поля 26 он сливае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ся с верхней пачкой пласта Великан-2, образуя единый рабочий комплекс. Пласт имеет сложное строение и состоит из двух, трех, иногда пяти пачек. Пачки разделяются между собой прослойками алевролита, аргиллита и реже песчаника. Мощность прослойков колеблется от 0,05 до </w:t>
      </w:r>
      <w:smartTag w:uri="urn:schemas-microsoft-com:office:smarttags" w:element="metricconverter">
        <w:smartTagPr>
          <w:attr w:name="ProductID" w:val="0,75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0,75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 Пласт распр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странен на незначительной площади. С глубиной он постепенно теряет раб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чую мощность и расщепляется. Разрез отрабатывает пласт на площади, где его рабочая мощность изменяется от 0,6 до </w:t>
      </w:r>
      <w:smartTag w:uri="urn:schemas-microsoft-com:office:smarttags" w:element="metricconverter">
        <w:smartTagPr>
          <w:attr w:name="ProductID" w:val="2,1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2,1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 Угли пласта полубл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стящие и матовые.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Великан-2 на всей площади имеет рабочую мощность. От пласта В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ликан-1 он отделен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междупластием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мощностью 1,0-</w:t>
      </w:r>
      <w:smartTag w:uri="urn:schemas-microsoft-com:office:smarttags" w:element="metricconverter">
        <w:smartTagPr>
          <w:attr w:name="ProductID" w:val="2,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2,0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Безымянный является спутником пласта «Мощный». Пласт имеет простое строение, представлен одной, реже 2-3 пачками. Угольные пачки, как правило, отделяются друг от друга прослоями углистого и слабо углистого а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гиллита, мощность породных прослоев колеблется от 0,05 до </w:t>
      </w:r>
      <w:smartTag w:uri="urn:schemas-microsoft-com:office:smarttags" w:element="metricconverter">
        <w:smartTagPr>
          <w:attr w:name="ProductID" w:val="0,3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0,3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От пласта Великан-2 отделен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междупластием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мощностью от 6,0 до </w:t>
      </w:r>
      <w:smartTag w:uri="urn:schemas-microsoft-com:office:smarttags" w:element="metricconverter">
        <w:smartTagPr>
          <w:attr w:name="ProductID" w:val="1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ж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дупластие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представлено светлыми песчаниками и темно-серыми почти черными арги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литами. На всей площади пласт имеет нерабочую мощность. Уголь пласта в восточной части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полу блестящий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Мощный является одним из чередующихся пачек угля и углистых пород. Причем первые нередко замещаются вторыми. Отстоит от пласта Безымянного на расстоянии 1-4, реже </w:t>
      </w:r>
      <w:smartTag w:uri="urn:schemas-microsoft-com:office:smarttags" w:element="metricconverter">
        <w:smartTagPr>
          <w:attr w:name="ProductID" w:val="8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8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Он состоит из чередующихся пачек угля и углистых пород и является 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неустойчивым. В пласте «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Мощный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«п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ослеживаются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две пачки зольных углей, выдержанных по простиранию. Общая мощность пласта изменяется от 1 до </w:t>
      </w:r>
      <w:smartTag w:uri="urn:schemas-microsoft-com:office:smarttags" w:element="metricconverter">
        <w:smartTagPr>
          <w:attr w:name="ProductID" w:val="5,5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5,5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Гигант-1 отделен от вышележащего пласта «Мощный»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междупласт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ем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из серых и тёмно-серых песчаников, реже алевролитов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ощностью от 10 до </w:t>
      </w:r>
      <w:smartTag w:uri="urn:schemas-microsoft-com:office:smarttags" w:element="metricconverter">
        <w:smartTagPr>
          <w:attr w:name="ProductID" w:val="20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20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. Пласт имеет сложное строение и изменчивую мощность. На всей площади сохраняет рабочую мощность. Пласт представлен 3-5 пачками. Внутрипластовые прослойки в большинстве случаев представлены аргилл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тами, углистыми аргиллитами и редко алевролитами.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Пласт Гигант-2 , как и пласт Гигант-1, имеет изменчивую мощность и сложное строение. Располагается он ниже пласта Гигант-1 на расстоянии 0,4-</w:t>
      </w:r>
      <w:smartTag w:uri="urn:schemas-microsoft-com:office:smarttags" w:element="metricconverter">
        <w:smartTagPr>
          <w:attr w:name="ProductID" w:val="0,5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0,5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Междупластие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представлено тёмно-серыми алевролитами и реже аргиллитами. На полях 21 и 23,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там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где пласт Гигант-2 сливается с пластом Г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гант-1, мощность его увеличивается до 4,5-</w:t>
      </w:r>
      <w:smartTag w:uri="urn:schemas-microsoft-com:office:smarttags" w:element="metricconverter">
        <w:smartTagPr>
          <w:attr w:name="ProductID" w:val="10,3 м"/>
        </w:smartTagPr>
        <w:r w:rsidRPr="007A5C9B">
          <w:rPr>
            <w:rFonts w:ascii="Times New Roman" w:hAnsi="Times New Roman" w:cs="Times New Roman"/>
            <w:color w:val="000000"/>
            <w:sz w:val="24"/>
            <w:szCs w:val="24"/>
          </w:rPr>
          <w:t>10,3 м</w:t>
        </w:r>
      </w:smartTag>
      <w:r w:rsidRPr="007A5C9B">
        <w:rPr>
          <w:rFonts w:ascii="Times New Roman" w:hAnsi="Times New Roman" w:cs="Times New Roman"/>
          <w:color w:val="000000"/>
          <w:sz w:val="24"/>
          <w:szCs w:val="24"/>
        </w:rPr>
        <w:t>, а строение усложняется.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   Качество углей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Угли месторождения относятся к </w:t>
      </w:r>
      <w:r w:rsidRPr="007A5C9B">
        <w:rPr>
          <w:rFonts w:ascii="Times New Roman" w:hAnsi="Times New Roman" w:cs="Times New Roman"/>
          <w:color w:val="000000"/>
          <w:sz w:val="24"/>
          <w:szCs w:val="24"/>
          <w:lang w:val="en-US"/>
        </w:rPr>
        <w:t>VI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A5C9B">
        <w:rPr>
          <w:rFonts w:ascii="Times New Roman" w:hAnsi="Times New Roman" w:cs="Times New Roman"/>
          <w:color w:val="000000"/>
          <w:sz w:val="24"/>
          <w:szCs w:val="24"/>
          <w:lang w:val="en-US"/>
        </w:rPr>
        <w:t>VII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категории по шкале М.М.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Прот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дьяконова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>, с коэффициентом крепости 3-4.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Содержание влаги в углях изменяется от 2,1 до 15,5 %.В целом по разв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данным участкам среднее содержание влаги составляет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7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%.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Угли Черногорского месторождения по генетической классификации отн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сятся к каменным гумусовым углям. По промышленной классификации зан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мают промежуточное положение между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газовыми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и длиннопламенными. По ранее 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действующему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ГОСТ 9477-79 они были отнесены к марке Д.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Содержание золы в углях разведанной площади изменяется по отдельным пробам в широких пределах — от 1,6 до 30%. Угли месторождения малосе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нистые (содержание серы - не более 0,53 %) и </w:t>
      </w:r>
      <w:proofErr w:type="spell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малофосфатные</w:t>
      </w:r>
      <w:proofErr w:type="spellEnd"/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(содержание фосфора не превышает 0,04 %). Выход летучих веще</w:t>
      </w:r>
      <w:proofErr w:type="gramStart"/>
      <w:r w:rsidRPr="007A5C9B">
        <w:rPr>
          <w:rFonts w:ascii="Times New Roman" w:hAnsi="Times New Roman" w:cs="Times New Roman"/>
          <w:color w:val="000000"/>
          <w:sz w:val="24"/>
          <w:szCs w:val="24"/>
        </w:rPr>
        <w:t>ств в ср</w:t>
      </w:r>
      <w:proofErr w:type="gramEnd"/>
      <w:r w:rsidRPr="007A5C9B">
        <w:rPr>
          <w:rFonts w:ascii="Times New Roman" w:hAnsi="Times New Roman" w:cs="Times New Roman"/>
          <w:color w:val="000000"/>
          <w:sz w:val="24"/>
          <w:szCs w:val="24"/>
        </w:rPr>
        <w:t>еднем 36-43%, нижняя теплота сгорания 4830 ккал/кг.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Угли по всей площади своего распространения по качеству однотипны. Угли средне и труднообогатимые, малосернистые, пригодны для использов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ния в качестве энергетического топлива. В таблице 2 приведена зольность угля в неотработанном контуре, рассчитанная средневзвешено по средней золе и з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пасам входящих блоков.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>По данным лабораторных исследований видно, что закономерности изменения зольности, состава и свойств золы, зернистости по площади и гл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бине залегания не наблюдается. Угли на всей площади своего распростран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ния по качеству однотипны.</w:t>
      </w:r>
    </w:p>
    <w:p w:rsidR="007A5C9B" w:rsidRP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>Содержание фосфора в углях не превышает 0,04 %, а по некоторым пр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7A5C9B">
        <w:rPr>
          <w:rFonts w:ascii="Times New Roman" w:hAnsi="Times New Roman" w:cs="Times New Roman"/>
          <w:color w:val="000000"/>
          <w:sz w:val="24"/>
          <w:szCs w:val="24"/>
        </w:rPr>
        <w:t>бам вообще не обнаруживается.</w:t>
      </w:r>
    </w:p>
    <w:p w:rsidR="007A5C9B" w:rsidRDefault="007A5C9B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5C9B">
        <w:rPr>
          <w:rFonts w:ascii="Times New Roman" w:hAnsi="Times New Roman" w:cs="Times New Roman"/>
          <w:color w:val="000000"/>
          <w:sz w:val="24"/>
          <w:szCs w:val="24"/>
        </w:rPr>
        <w:t xml:space="preserve">    Содержание вредных примесей в углях не исследовались. Претензий по вредным примесям со стороны потребителей не имеется.</w:t>
      </w:r>
    </w:p>
    <w:p w:rsidR="00B85503" w:rsidRDefault="00B85503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1945D0B" wp14:editId="2A3BF327">
            <wp:extent cx="5539740" cy="33948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2565" t="38290" r="41410" b="11567"/>
                    <a:stretch/>
                  </pic:blipFill>
                  <pic:spPr bwMode="auto">
                    <a:xfrm>
                      <a:off x="0" y="0"/>
                      <a:ext cx="5536781" cy="3393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503" w:rsidRDefault="00B85503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5503" w:rsidRDefault="00B85503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05E947D" wp14:editId="6D36A3BA">
            <wp:extent cx="5676900" cy="3739185"/>
            <wp:effectExtent l="0" t="0" r="0" b="0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924" t="31681" r="40000" b="12022"/>
                    <a:stretch/>
                  </pic:blipFill>
                  <pic:spPr bwMode="auto">
                    <a:xfrm>
                      <a:off x="0" y="0"/>
                      <a:ext cx="5673869" cy="3737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5503" w:rsidRDefault="00B85503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E987698" wp14:editId="06EDE889">
            <wp:extent cx="5676900" cy="7427486"/>
            <wp:effectExtent l="0" t="0" r="0" b="254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55000" t="22565" r="15898" b="9743"/>
                    <a:stretch/>
                  </pic:blipFill>
                  <pic:spPr bwMode="auto">
                    <a:xfrm>
                      <a:off x="0" y="0"/>
                      <a:ext cx="5673867" cy="7423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132E" w:rsidRPr="007A5C9B" w:rsidRDefault="00FD132E" w:rsidP="007A5C9B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D306D8E" wp14:editId="7F1602A4">
            <wp:extent cx="5608320" cy="4833949"/>
            <wp:effectExtent l="0" t="0" r="0" b="508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8590" t="44445" r="50769" b="8603"/>
                    <a:stretch/>
                  </pic:blipFill>
                  <pic:spPr bwMode="auto">
                    <a:xfrm>
                      <a:off x="0" y="0"/>
                      <a:ext cx="5605324" cy="48313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C9B" w:rsidRPr="007A5C9B" w:rsidRDefault="007A5C9B" w:rsidP="007A5C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A5C9B" w:rsidRPr="007A5C9B" w:rsidRDefault="00FD132E" w:rsidP="007A5C9B">
      <w:pPr>
        <w:shd w:val="clear" w:color="auto" w:fill="FFFFFF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92B6CEE" wp14:editId="222A169D">
            <wp:extent cx="5196840" cy="1532402"/>
            <wp:effectExtent l="0" t="0" r="381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3906" t="39718" r="15625" b="45306"/>
                    <a:stretch/>
                  </pic:blipFill>
                  <pic:spPr bwMode="auto">
                    <a:xfrm>
                      <a:off x="0" y="0"/>
                      <a:ext cx="5194063" cy="1531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A5C9B" w:rsidRPr="007A5C9B" w:rsidRDefault="007A5C9B" w:rsidP="007A5C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A5C9B" w:rsidRPr="007A5C9B" w:rsidSect="00DF62A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08C7"/>
    <w:multiLevelType w:val="hybridMultilevel"/>
    <w:tmpl w:val="11762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779FA"/>
    <w:multiLevelType w:val="hybridMultilevel"/>
    <w:tmpl w:val="0AB8B75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6D76345"/>
    <w:multiLevelType w:val="hybridMultilevel"/>
    <w:tmpl w:val="2F44A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93151F"/>
    <w:multiLevelType w:val="hybridMultilevel"/>
    <w:tmpl w:val="3E54A572"/>
    <w:lvl w:ilvl="0" w:tplc="85E40EB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6E4"/>
    <w:rsid w:val="00025EC2"/>
    <w:rsid w:val="00057BB0"/>
    <w:rsid w:val="000964CB"/>
    <w:rsid w:val="001D4EDA"/>
    <w:rsid w:val="00210B84"/>
    <w:rsid w:val="002A7CB6"/>
    <w:rsid w:val="002C3DF0"/>
    <w:rsid w:val="002E0417"/>
    <w:rsid w:val="002F0CE2"/>
    <w:rsid w:val="003740FA"/>
    <w:rsid w:val="003E65A6"/>
    <w:rsid w:val="003E7FB5"/>
    <w:rsid w:val="004919C2"/>
    <w:rsid w:val="005C3878"/>
    <w:rsid w:val="005F310B"/>
    <w:rsid w:val="005F6331"/>
    <w:rsid w:val="00600EB1"/>
    <w:rsid w:val="006343B0"/>
    <w:rsid w:val="006550EA"/>
    <w:rsid w:val="00686E09"/>
    <w:rsid w:val="0069137B"/>
    <w:rsid w:val="00692722"/>
    <w:rsid w:val="006A766E"/>
    <w:rsid w:val="007A5C9B"/>
    <w:rsid w:val="007C50AB"/>
    <w:rsid w:val="007D4F82"/>
    <w:rsid w:val="007F2DB8"/>
    <w:rsid w:val="008A31BF"/>
    <w:rsid w:val="0094112A"/>
    <w:rsid w:val="0095216C"/>
    <w:rsid w:val="00964083"/>
    <w:rsid w:val="009F66E4"/>
    <w:rsid w:val="00A12BBF"/>
    <w:rsid w:val="00B067F6"/>
    <w:rsid w:val="00B27847"/>
    <w:rsid w:val="00B366E5"/>
    <w:rsid w:val="00B8049E"/>
    <w:rsid w:val="00B8268B"/>
    <w:rsid w:val="00B85503"/>
    <w:rsid w:val="00C632D4"/>
    <w:rsid w:val="00C71D39"/>
    <w:rsid w:val="00CA1141"/>
    <w:rsid w:val="00CA66E4"/>
    <w:rsid w:val="00CD7C4E"/>
    <w:rsid w:val="00CF17E1"/>
    <w:rsid w:val="00D847AB"/>
    <w:rsid w:val="00DA7EE5"/>
    <w:rsid w:val="00DF62A2"/>
    <w:rsid w:val="00E12B7B"/>
    <w:rsid w:val="00E41125"/>
    <w:rsid w:val="00EA15B0"/>
    <w:rsid w:val="00EA69C4"/>
    <w:rsid w:val="00EE5896"/>
    <w:rsid w:val="00F902C0"/>
    <w:rsid w:val="00FD132E"/>
    <w:rsid w:val="00FD47BC"/>
    <w:rsid w:val="00F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2D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F63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D39"/>
    <w:rPr>
      <w:rFonts w:ascii="Tahoma" w:hAnsi="Tahoma" w:cs="Tahoma"/>
      <w:sz w:val="16"/>
      <w:szCs w:val="16"/>
    </w:rPr>
  </w:style>
  <w:style w:type="paragraph" w:customStyle="1" w:styleId="a7">
    <w:name w:val="Чертежный"/>
    <w:rsid w:val="007A5C9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2D4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5F6331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71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1D39"/>
    <w:rPr>
      <w:rFonts w:ascii="Tahoma" w:hAnsi="Tahoma" w:cs="Tahoma"/>
      <w:sz w:val="16"/>
      <w:szCs w:val="16"/>
    </w:rPr>
  </w:style>
  <w:style w:type="paragraph" w:customStyle="1" w:styleId="a7">
    <w:name w:val="Чертежный"/>
    <w:rsid w:val="007A5C9B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7</Pages>
  <Words>1806</Words>
  <Characters>10297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евросеть</dc:creator>
  <cp:keywords/>
  <dc:description/>
  <cp:lastModifiedBy>РХ ТФОМС</cp:lastModifiedBy>
  <cp:revision>17</cp:revision>
  <dcterms:created xsi:type="dcterms:W3CDTF">2020-05-12T15:09:00Z</dcterms:created>
  <dcterms:modified xsi:type="dcterms:W3CDTF">2026-01-19T14:13:00Z</dcterms:modified>
</cp:coreProperties>
</file>