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F77" w:rsidRDefault="00060F77" w:rsidP="00060F77">
      <w:pPr>
        <w:spacing w:after="120" w:line="330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5 ОПИ-22 </w:t>
      </w:r>
    </w:p>
    <w:p w:rsidR="00060F77" w:rsidRPr="00060F77" w:rsidRDefault="00060F77" w:rsidP="00060F77">
      <w:pPr>
        <w:spacing w:after="120" w:line="330" w:lineRule="atLeast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Тема:</w:t>
      </w:r>
      <w:r w:rsidRPr="00060F77">
        <w:rPr>
          <w:sz w:val="20"/>
          <w:szCs w:val="20"/>
        </w:rPr>
        <w:t xml:space="preserve"> </w:t>
      </w:r>
      <w:r w:rsidRPr="00060F77">
        <w:rPr>
          <w:b/>
          <w:sz w:val="28"/>
          <w:szCs w:val="28"/>
        </w:rPr>
        <w:t>Техника общих аналитических операций</w:t>
      </w:r>
    </w:p>
    <w:p w:rsidR="00060F77" w:rsidRDefault="00060F77" w:rsidP="00060F77">
      <w:pPr>
        <w:spacing w:after="120" w:line="330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Составить конспект.</w:t>
      </w:r>
      <w:bookmarkStart w:id="0" w:name="_GoBack"/>
      <w:bookmarkEnd w:id="0"/>
    </w:p>
    <w:p w:rsidR="00060F77" w:rsidRPr="00060F77" w:rsidRDefault="00060F77" w:rsidP="00060F77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60F7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Техника общих аналитических операций в аналитической химии</w:t>
      </w:r>
      <w:r w:rsidRPr="00060F77">
        <w:rPr>
          <w:rFonts w:ascii="Arial" w:eastAsia="Times New Roman" w:hAnsi="Arial" w:cs="Arial"/>
          <w:sz w:val="24"/>
          <w:szCs w:val="24"/>
          <w:lang w:eastAsia="ru-RU"/>
        </w:rPr>
        <w:t xml:space="preserve"> включает техники выполнения качественного и количественного анализа, а также методы разделения. Также рассматривается методика обработки результатов аналитических операций.  </w:t>
      </w:r>
    </w:p>
    <w:p w:rsidR="00060F77" w:rsidRPr="00060F77" w:rsidRDefault="00060F77" w:rsidP="00060F77">
      <w:pPr>
        <w:spacing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60F7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Общая схема аналитического процесса</w:t>
      </w:r>
      <w:r w:rsidRPr="00060F77">
        <w:rPr>
          <w:rFonts w:ascii="Arial" w:eastAsia="Times New Roman" w:hAnsi="Arial" w:cs="Arial"/>
          <w:sz w:val="24"/>
          <w:szCs w:val="24"/>
          <w:lang w:eastAsia="ru-RU"/>
        </w:rPr>
        <w:t> включает ряд стадий: отбор пробы, подготовка пробы, качественный и количественный анализ, наблюдение, измерение, выводы, обработка результатов. Независимо от метода анализа все стадии обязательны и выполняются в указанной последовательности. </w:t>
      </w:r>
      <w:hyperlink r:id="rId6" w:tgtFrame="_blank" w:history="1">
        <w:r w:rsidRPr="00060F77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elib.belstu.by</w:t>
        </w:r>
      </w:hyperlink>
    </w:p>
    <w:p w:rsidR="00060F77" w:rsidRPr="00060F77" w:rsidRDefault="00060F77" w:rsidP="00060F77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76700" cy="2790825"/>
            <wp:effectExtent l="0" t="0" r="0" b="9525"/>
            <wp:docPr id="1" name="Рисунок 1" descr="PPT - Схема аналитического цикла PowerPoint Presentation - ID:7075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PT - Схема аналитического цикла PowerPoint Presentation - ID:70752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F77" w:rsidRPr="00060F77" w:rsidRDefault="00060F77" w:rsidP="00060F77">
      <w:pPr>
        <w:spacing w:before="360"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060F77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Качественный анализ</w:t>
      </w:r>
    </w:p>
    <w:p w:rsidR="00060F77" w:rsidRPr="00060F77" w:rsidRDefault="00060F77" w:rsidP="00060F77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60F7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Задача</w:t>
      </w:r>
      <w:r w:rsidRPr="00060F77">
        <w:rPr>
          <w:rFonts w:ascii="Arial" w:eastAsia="Times New Roman" w:hAnsi="Arial" w:cs="Arial"/>
          <w:sz w:val="24"/>
          <w:szCs w:val="24"/>
          <w:lang w:eastAsia="ru-RU"/>
        </w:rPr>
        <w:t xml:space="preserve"> — обнаружить отдельные элементы (или ионы), входящие в состав анализируемого вещества, с помощью аналитических реакций. Реакции сопровождаются внешним эффектом: выпадением или растворением осадка, образованием кристаллов определённой формы, изменением окраски, выделением газов </w:t>
      </w:r>
    </w:p>
    <w:p w:rsidR="00060F77" w:rsidRPr="00060F77" w:rsidRDefault="00060F77" w:rsidP="00060F77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60F7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Некоторые особенности техники:</w:t>
      </w:r>
    </w:p>
    <w:p w:rsidR="00060F77" w:rsidRPr="00060F77" w:rsidRDefault="00060F77" w:rsidP="00060F77">
      <w:pPr>
        <w:numPr>
          <w:ilvl w:val="0"/>
          <w:numId w:val="1"/>
        </w:numPr>
        <w:spacing w:before="120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60F7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Пробирочные реакции</w:t>
      </w:r>
      <w:r w:rsidRPr="00060F77">
        <w:rPr>
          <w:rFonts w:ascii="Arial" w:eastAsia="Times New Roman" w:hAnsi="Arial" w:cs="Arial"/>
          <w:sz w:val="24"/>
          <w:szCs w:val="24"/>
          <w:lang w:eastAsia="ru-RU"/>
        </w:rPr>
        <w:t xml:space="preserve"> проводят в </w:t>
      </w:r>
      <w:proofErr w:type="spellStart"/>
      <w:r w:rsidRPr="00060F77">
        <w:rPr>
          <w:rFonts w:ascii="Arial" w:eastAsia="Times New Roman" w:hAnsi="Arial" w:cs="Arial"/>
          <w:sz w:val="24"/>
          <w:szCs w:val="24"/>
          <w:lang w:eastAsia="ru-RU"/>
        </w:rPr>
        <w:t>полумикропробирках</w:t>
      </w:r>
      <w:proofErr w:type="spellEnd"/>
      <w:r w:rsidRPr="00060F77">
        <w:rPr>
          <w:rFonts w:ascii="Arial" w:eastAsia="Times New Roman" w:hAnsi="Arial" w:cs="Arial"/>
          <w:sz w:val="24"/>
          <w:szCs w:val="24"/>
          <w:lang w:eastAsia="ru-RU"/>
        </w:rPr>
        <w:t xml:space="preserve"> для анализа растворов объёмом от 0,01 до 10 мл. В пробирку помещают 2–3 капли анализируемого раствора, создают условия, добавляют 2–3 капли реагента, перемешивают и через 1–2 минуты наблюдают аналитический эффект.</w:t>
      </w:r>
    </w:p>
    <w:p w:rsidR="00060F77" w:rsidRPr="00060F77" w:rsidRDefault="00060F77" w:rsidP="00060F77">
      <w:pPr>
        <w:numPr>
          <w:ilvl w:val="0"/>
          <w:numId w:val="1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60F7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Микрокристаллоскопические реакции</w:t>
      </w:r>
      <w:r w:rsidRPr="00060F77">
        <w:rPr>
          <w:rFonts w:ascii="Arial" w:eastAsia="Times New Roman" w:hAnsi="Arial" w:cs="Arial"/>
          <w:sz w:val="24"/>
          <w:szCs w:val="24"/>
          <w:lang w:eastAsia="ru-RU"/>
        </w:rPr>
        <w:t> проводят на чистых сухих предметных стёклах. На предметное стекло помещают каплю исследуемого раствора, рядом — каплю реагента и соединяют их стеклянной палочкой. Через 1–2 минуты наблюдают под микроскопом характерную форму и цвет кристаллов.</w:t>
      </w:r>
    </w:p>
    <w:p w:rsidR="00060F77" w:rsidRPr="00060F77" w:rsidRDefault="00060F77" w:rsidP="00060F77">
      <w:pPr>
        <w:numPr>
          <w:ilvl w:val="0"/>
          <w:numId w:val="1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60F77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Капельные реакции</w:t>
      </w:r>
      <w:r w:rsidRPr="00060F77">
        <w:rPr>
          <w:rFonts w:ascii="Arial" w:eastAsia="Times New Roman" w:hAnsi="Arial" w:cs="Arial"/>
          <w:sz w:val="24"/>
          <w:szCs w:val="24"/>
          <w:lang w:eastAsia="ru-RU"/>
        </w:rPr>
        <w:t> проводят на фильтровальной бумаге: на неё капилляром наносят анализируемое вещество, а затем в центр пятна другим капилляром наносят реактив.</w:t>
      </w:r>
    </w:p>
    <w:p w:rsidR="00060F77" w:rsidRPr="00060F77" w:rsidRDefault="00060F77" w:rsidP="00060F77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60F7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 исследовании смесей</w:t>
      </w:r>
      <w:r w:rsidRPr="00060F77">
        <w:rPr>
          <w:rFonts w:ascii="Arial" w:eastAsia="Times New Roman" w:hAnsi="Arial" w:cs="Arial"/>
          <w:sz w:val="24"/>
          <w:szCs w:val="24"/>
          <w:lang w:eastAsia="ru-RU"/>
        </w:rPr>
        <w:t> применяют дробный или систематический анализ: </w:t>
      </w:r>
      <w:r w:rsidRPr="00060F7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Дробный анализ</w:t>
      </w:r>
      <w:r w:rsidRPr="00060F77">
        <w:rPr>
          <w:rFonts w:ascii="Arial" w:eastAsia="Times New Roman" w:hAnsi="Arial" w:cs="Arial"/>
          <w:sz w:val="24"/>
          <w:szCs w:val="24"/>
          <w:lang w:eastAsia="ru-RU"/>
        </w:rPr>
        <w:t> проводят с отдельными порциями раствора или порошка пробы в присутствии всех компонентов пробы. Для дробного анализа используют характерные качественные реакции, которые присущи только данному иону или веществу, или применяют маскирование мешающих веществ.</w:t>
      </w:r>
    </w:p>
    <w:p w:rsidR="00060F77" w:rsidRPr="00060F77" w:rsidRDefault="00060F77" w:rsidP="00060F77">
      <w:pPr>
        <w:numPr>
          <w:ilvl w:val="0"/>
          <w:numId w:val="2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60F7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Систематический анализ</w:t>
      </w:r>
      <w:r w:rsidRPr="00060F77">
        <w:rPr>
          <w:rFonts w:ascii="Arial" w:eastAsia="Times New Roman" w:hAnsi="Arial" w:cs="Arial"/>
          <w:sz w:val="24"/>
          <w:szCs w:val="24"/>
          <w:lang w:eastAsia="ru-RU"/>
        </w:rPr>
        <w:t> предусматривает разделение смесей групповыми реактивами, позволяющими отделить группу веществ и проводить их обнаружение после разделения или выделения.</w:t>
      </w:r>
    </w:p>
    <w:p w:rsidR="00060F77" w:rsidRPr="00060F77" w:rsidRDefault="00060F77" w:rsidP="00060F77">
      <w:pPr>
        <w:spacing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60F77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060F77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Количественный анализ</w:t>
      </w:r>
    </w:p>
    <w:p w:rsidR="00060F77" w:rsidRPr="00060F77" w:rsidRDefault="00060F77" w:rsidP="00060F77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60F7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Цель</w:t>
      </w:r>
      <w:r w:rsidRPr="00060F77">
        <w:rPr>
          <w:rFonts w:ascii="Arial" w:eastAsia="Times New Roman" w:hAnsi="Arial" w:cs="Arial"/>
          <w:sz w:val="24"/>
          <w:szCs w:val="24"/>
          <w:lang w:eastAsia="ru-RU"/>
        </w:rPr>
        <w:t xml:space="preserve"> — установить количественное содержание компонентов анализируемого вещества. Методы количественного анализа подразделяют </w:t>
      </w:r>
      <w:proofErr w:type="gramStart"/>
      <w:r w:rsidRPr="00060F77">
        <w:rPr>
          <w:rFonts w:ascii="Arial" w:eastAsia="Times New Roman" w:hAnsi="Arial" w:cs="Arial"/>
          <w:sz w:val="24"/>
          <w:szCs w:val="24"/>
          <w:lang w:eastAsia="ru-RU"/>
        </w:rPr>
        <w:t>на</w:t>
      </w:r>
      <w:proofErr w:type="gramEnd"/>
      <w:r w:rsidRPr="00060F77">
        <w:rPr>
          <w:rFonts w:ascii="Arial" w:eastAsia="Times New Roman" w:hAnsi="Arial" w:cs="Arial"/>
          <w:sz w:val="24"/>
          <w:szCs w:val="24"/>
          <w:lang w:eastAsia="ru-RU"/>
        </w:rPr>
        <w:t xml:space="preserve"> химические и физические. </w:t>
      </w:r>
      <w:r w:rsidRPr="00060F7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Некоторые особенности техники:</w:t>
      </w:r>
    </w:p>
    <w:p w:rsidR="00060F77" w:rsidRPr="00060F77" w:rsidRDefault="00060F77" w:rsidP="00060F77">
      <w:pPr>
        <w:numPr>
          <w:ilvl w:val="0"/>
          <w:numId w:val="3"/>
        </w:numPr>
        <w:spacing w:before="120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60F7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Гравиметрический (весовой) анализ</w:t>
      </w:r>
      <w:r w:rsidRPr="00060F77">
        <w:rPr>
          <w:rFonts w:ascii="Arial" w:eastAsia="Times New Roman" w:hAnsi="Arial" w:cs="Arial"/>
          <w:sz w:val="24"/>
          <w:szCs w:val="24"/>
          <w:lang w:eastAsia="ru-RU"/>
        </w:rPr>
        <w:t> — точное измерение массы анализируемого компонента в исследуемом веществе.</w:t>
      </w:r>
    </w:p>
    <w:p w:rsidR="00060F77" w:rsidRPr="00060F77" w:rsidRDefault="00060F77" w:rsidP="00060F77">
      <w:pPr>
        <w:numPr>
          <w:ilvl w:val="0"/>
          <w:numId w:val="3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60F7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Титриметрический (объёмный) анализ</w:t>
      </w:r>
      <w:r w:rsidRPr="00060F77">
        <w:rPr>
          <w:rFonts w:ascii="Arial" w:eastAsia="Times New Roman" w:hAnsi="Arial" w:cs="Arial"/>
          <w:sz w:val="24"/>
          <w:szCs w:val="24"/>
          <w:lang w:eastAsia="ru-RU"/>
        </w:rPr>
        <w:t> — количественный состав исследуемой пробы определяют путём точного измерения объёма раствора реагента известной концентрации (</w:t>
      </w:r>
      <w:proofErr w:type="spellStart"/>
      <w:r w:rsidRPr="00060F77">
        <w:rPr>
          <w:rFonts w:ascii="Arial" w:eastAsia="Times New Roman" w:hAnsi="Arial" w:cs="Arial"/>
          <w:sz w:val="24"/>
          <w:szCs w:val="24"/>
          <w:lang w:eastAsia="ru-RU"/>
        </w:rPr>
        <w:t>титранта</w:t>
      </w:r>
      <w:proofErr w:type="spellEnd"/>
      <w:r w:rsidRPr="00060F77">
        <w:rPr>
          <w:rFonts w:ascii="Arial" w:eastAsia="Times New Roman" w:hAnsi="Arial" w:cs="Arial"/>
          <w:sz w:val="24"/>
          <w:szCs w:val="24"/>
          <w:lang w:eastAsia="ru-RU"/>
        </w:rPr>
        <w:t>), взаимодействующего в эквивалентных количествах с определяемым веществом.</w:t>
      </w:r>
    </w:p>
    <w:p w:rsidR="00060F77" w:rsidRPr="00060F77" w:rsidRDefault="00060F77" w:rsidP="00060F77">
      <w:pPr>
        <w:numPr>
          <w:ilvl w:val="0"/>
          <w:numId w:val="3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60F7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Физические методы</w:t>
      </w:r>
      <w:r w:rsidRPr="00060F77">
        <w:rPr>
          <w:rFonts w:ascii="Arial" w:eastAsia="Times New Roman" w:hAnsi="Arial" w:cs="Arial"/>
          <w:sz w:val="24"/>
          <w:szCs w:val="24"/>
          <w:lang w:eastAsia="ru-RU"/>
        </w:rPr>
        <w:t> связаны с изучением спектров и других физических свойств веществ, зависящих от их состава.</w:t>
      </w:r>
    </w:p>
    <w:p w:rsidR="00060F77" w:rsidRPr="00060F77" w:rsidRDefault="00060F77" w:rsidP="00060F77">
      <w:pPr>
        <w:spacing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60F7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Важно</w:t>
      </w:r>
      <w:r w:rsidRPr="00060F77">
        <w:rPr>
          <w:rFonts w:ascii="Arial" w:eastAsia="Times New Roman" w:hAnsi="Arial" w:cs="Arial"/>
          <w:sz w:val="24"/>
          <w:szCs w:val="24"/>
          <w:lang w:eastAsia="ru-RU"/>
        </w:rPr>
        <w:t xml:space="preserve">: чтобы результаты количественного анализа были верны, необходимо соблюдать ряд условий: подбирать подходящую аналитическую реакцию или физическое свойство вещества, правильно выполнять все аналитические процедуры, применять достаточно надёжные способы измерения результатов анализа.  </w:t>
      </w:r>
    </w:p>
    <w:p w:rsidR="00060F77" w:rsidRPr="00060F77" w:rsidRDefault="00060F77" w:rsidP="00060F77">
      <w:pPr>
        <w:spacing w:before="360"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060F77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Разделение</w:t>
      </w:r>
    </w:p>
    <w:p w:rsidR="00060F77" w:rsidRPr="00060F77" w:rsidRDefault="00060F77" w:rsidP="00060F77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60F7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Цель</w:t>
      </w:r>
      <w:r w:rsidRPr="00060F77">
        <w:rPr>
          <w:rFonts w:ascii="Arial" w:eastAsia="Times New Roman" w:hAnsi="Arial" w:cs="Arial"/>
          <w:sz w:val="24"/>
          <w:szCs w:val="24"/>
          <w:lang w:eastAsia="ru-RU"/>
        </w:rPr>
        <w:t xml:space="preserve"> — отделить мешающие компоненты или выделить </w:t>
      </w:r>
      <w:proofErr w:type="spellStart"/>
      <w:r w:rsidRPr="00060F77">
        <w:rPr>
          <w:rFonts w:ascii="Arial" w:eastAsia="Times New Roman" w:hAnsi="Arial" w:cs="Arial"/>
          <w:sz w:val="24"/>
          <w:szCs w:val="24"/>
          <w:lang w:eastAsia="ru-RU"/>
        </w:rPr>
        <w:t>аналиты</w:t>
      </w:r>
      <w:proofErr w:type="spellEnd"/>
      <w:r w:rsidRPr="00060F77">
        <w:rPr>
          <w:rFonts w:ascii="Arial" w:eastAsia="Times New Roman" w:hAnsi="Arial" w:cs="Arial"/>
          <w:sz w:val="24"/>
          <w:szCs w:val="24"/>
          <w:lang w:eastAsia="ru-RU"/>
        </w:rPr>
        <w:t xml:space="preserve"> в удобной для анализа форме. На практике применяются разнообразные методы разделения: </w:t>
      </w:r>
      <w:r w:rsidRPr="00060F7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gramStart"/>
      <w:r w:rsidRPr="00060F7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Химические</w:t>
      </w:r>
      <w:proofErr w:type="gramEnd"/>
      <w:r w:rsidRPr="00060F77">
        <w:rPr>
          <w:rFonts w:ascii="Arial" w:eastAsia="Times New Roman" w:hAnsi="Arial" w:cs="Arial"/>
          <w:sz w:val="24"/>
          <w:szCs w:val="24"/>
          <w:lang w:eastAsia="ru-RU"/>
        </w:rPr>
        <w:t> — например, осаждение в форме малорастворимых соединений.</w:t>
      </w:r>
    </w:p>
    <w:p w:rsidR="00060F77" w:rsidRPr="00060F77" w:rsidRDefault="00060F77" w:rsidP="00060F77">
      <w:pPr>
        <w:numPr>
          <w:ilvl w:val="0"/>
          <w:numId w:val="4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060F7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Физические</w:t>
      </w:r>
      <w:r w:rsidRPr="00060F77">
        <w:rPr>
          <w:rFonts w:ascii="Arial" w:eastAsia="Times New Roman" w:hAnsi="Arial" w:cs="Arial"/>
          <w:sz w:val="24"/>
          <w:szCs w:val="24"/>
          <w:lang w:eastAsia="ru-RU"/>
        </w:rPr>
        <w:t> — в частности, отгонка, сублимация, плавление.</w:t>
      </w:r>
      <w:proofErr w:type="gramEnd"/>
    </w:p>
    <w:p w:rsidR="00060F77" w:rsidRPr="00060F77" w:rsidRDefault="00060F77" w:rsidP="00060F77">
      <w:pPr>
        <w:numPr>
          <w:ilvl w:val="0"/>
          <w:numId w:val="4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060F7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Физико-химические</w:t>
      </w:r>
      <w:proofErr w:type="gramEnd"/>
      <w:r w:rsidRPr="00060F77">
        <w:rPr>
          <w:rFonts w:ascii="Arial" w:eastAsia="Times New Roman" w:hAnsi="Arial" w:cs="Arial"/>
          <w:sz w:val="24"/>
          <w:szCs w:val="24"/>
          <w:lang w:eastAsia="ru-RU"/>
        </w:rPr>
        <w:t> — экстракция, ионный обмен, хроматография и др..</w:t>
      </w:r>
    </w:p>
    <w:p w:rsidR="00060F77" w:rsidRPr="00060F77" w:rsidRDefault="00060F77" w:rsidP="00060F77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60F7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Существуют два основных способа устранения мешающих компонентов</w:t>
      </w:r>
      <w:r w:rsidRPr="00060F77">
        <w:rPr>
          <w:rFonts w:ascii="Arial" w:eastAsia="Times New Roman" w:hAnsi="Arial" w:cs="Arial"/>
          <w:sz w:val="24"/>
          <w:szCs w:val="24"/>
          <w:lang w:eastAsia="ru-RU"/>
        </w:rPr>
        <w:t>: </w:t>
      </w:r>
      <w:hyperlink r:id="rId8" w:tgtFrame="_blank" w:history="1">
        <w:r w:rsidRPr="00060F77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elib.belstu.by</w:t>
        </w:r>
      </w:hyperlink>
    </w:p>
    <w:p w:rsidR="00060F77" w:rsidRPr="00060F77" w:rsidRDefault="00060F77" w:rsidP="00060F77">
      <w:pPr>
        <w:numPr>
          <w:ilvl w:val="0"/>
          <w:numId w:val="5"/>
        </w:numPr>
        <w:spacing w:before="120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60F77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Разделение</w:t>
      </w:r>
      <w:r w:rsidRPr="00060F77">
        <w:rPr>
          <w:rFonts w:ascii="Arial" w:eastAsia="Times New Roman" w:hAnsi="Arial" w:cs="Arial"/>
          <w:sz w:val="24"/>
          <w:szCs w:val="24"/>
          <w:lang w:eastAsia="ru-RU"/>
        </w:rPr>
        <w:t> — компоненты смеси отделяются друг от друга чаще всего за счёт перевода в другую фазу. Например, при проведении качественного анализа смеси катионов их разделяют на аналитические группы с использованием реакций группового осаждения.</w:t>
      </w:r>
    </w:p>
    <w:p w:rsidR="00060F77" w:rsidRPr="00060F77" w:rsidRDefault="00060F77" w:rsidP="00060F77">
      <w:pPr>
        <w:numPr>
          <w:ilvl w:val="0"/>
          <w:numId w:val="5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60F7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Маскирование</w:t>
      </w:r>
      <w:r w:rsidRPr="00060F77">
        <w:rPr>
          <w:rFonts w:ascii="Arial" w:eastAsia="Times New Roman" w:hAnsi="Arial" w:cs="Arial"/>
          <w:sz w:val="24"/>
          <w:szCs w:val="24"/>
          <w:lang w:eastAsia="ru-RU"/>
        </w:rPr>
        <w:t> — мешающий ион не удаляется из системы, в системе создают такие условия, при которых он не может реагировать с реактивом на определяемый ион. Например, регулируют значение рН раствора, чтобы мешающий ион не мог реагировать с реактивом.</w:t>
      </w:r>
    </w:p>
    <w:p w:rsidR="00060F77" w:rsidRPr="00060F77" w:rsidRDefault="00060F77" w:rsidP="00060F77">
      <w:pPr>
        <w:spacing w:before="360"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060F77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Обработка данных</w:t>
      </w:r>
    </w:p>
    <w:p w:rsidR="00060F77" w:rsidRPr="00060F77" w:rsidRDefault="00060F77" w:rsidP="00060F77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60F7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Общая схема измерения содержания </w:t>
      </w:r>
      <w:proofErr w:type="spellStart"/>
      <w:r w:rsidRPr="00060F7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вещества</w:t>
      </w:r>
      <w:r w:rsidRPr="00060F77">
        <w:rPr>
          <w:rFonts w:ascii="Arial" w:eastAsia="Times New Roman" w:hAnsi="Arial" w:cs="Arial"/>
          <w:sz w:val="24"/>
          <w:szCs w:val="24"/>
          <w:lang w:eastAsia="ru-RU"/>
        </w:rPr>
        <w:t>Установление</w:t>
      </w:r>
      <w:proofErr w:type="spellEnd"/>
      <w:r w:rsidRPr="00060F7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060F77">
        <w:rPr>
          <w:rFonts w:ascii="Arial" w:eastAsia="Times New Roman" w:hAnsi="Arial" w:cs="Arial"/>
          <w:sz w:val="24"/>
          <w:szCs w:val="24"/>
          <w:lang w:eastAsia="ru-RU"/>
        </w:rPr>
        <w:t>градуировочной</w:t>
      </w:r>
      <w:proofErr w:type="spellEnd"/>
      <w:r w:rsidRPr="00060F77">
        <w:rPr>
          <w:rFonts w:ascii="Arial" w:eastAsia="Times New Roman" w:hAnsi="Arial" w:cs="Arial"/>
          <w:sz w:val="24"/>
          <w:szCs w:val="24"/>
          <w:lang w:eastAsia="ru-RU"/>
        </w:rPr>
        <w:t xml:space="preserve"> функции.</w:t>
      </w:r>
    </w:p>
    <w:p w:rsidR="00060F77" w:rsidRPr="00060F77" w:rsidRDefault="00060F77" w:rsidP="00060F77">
      <w:pPr>
        <w:numPr>
          <w:ilvl w:val="0"/>
          <w:numId w:val="6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60F77">
        <w:rPr>
          <w:rFonts w:ascii="Arial" w:eastAsia="Times New Roman" w:hAnsi="Arial" w:cs="Arial"/>
          <w:sz w:val="24"/>
          <w:szCs w:val="24"/>
          <w:lang w:eastAsia="ru-RU"/>
        </w:rPr>
        <w:t>Измерение аналитического сигнала анализируемого образца.</w:t>
      </w:r>
    </w:p>
    <w:p w:rsidR="00060F77" w:rsidRPr="00060F77" w:rsidRDefault="00060F77" w:rsidP="00060F77">
      <w:pPr>
        <w:numPr>
          <w:ilvl w:val="0"/>
          <w:numId w:val="6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60F77">
        <w:rPr>
          <w:rFonts w:ascii="Arial" w:eastAsia="Times New Roman" w:hAnsi="Arial" w:cs="Arial"/>
          <w:sz w:val="24"/>
          <w:szCs w:val="24"/>
          <w:lang w:eastAsia="ru-RU"/>
        </w:rPr>
        <w:t xml:space="preserve">Нахождение по величине аналитического сигнала с помощью </w:t>
      </w:r>
      <w:proofErr w:type="spellStart"/>
      <w:r w:rsidRPr="00060F77">
        <w:rPr>
          <w:rFonts w:ascii="Arial" w:eastAsia="Times New Roman" w:hAnsi="Arial" w:cs="Arial"/>
          <w:sz w:val="24"/>
          <w:szCs w:val="24"/>
          <w:lang w:eastAsia="ru-RU"/>
        </w:rPr>
        <w:t>градуировочной</w:t>
      </w:r>
      <w:proofErr w:type="spellEnd"/>
      <w:r w:rsidRPr="00060F77">
        <w:rPr>
          <w:rFonts w:ascii="Arial" w:eastAsia="Times New Roman" w:hAnsi="Arial" w:cs="Arial"/>
          <w:sz w:val="24"/>
          <w:szCs w:val="24"/>
          <w:lang w:eastAsia="ru-RU"/>
        </w:rPr>
        <w:t xml:space="preserve"> функции содержания определяемого компонента.</w:t>
      </w:r>
    </w:p>
    <w:p w:rsidR="00060F77" w:rsidRPr="00060F77" w:rsidRDefault="00060F77" w:rsidP="00060F77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60F7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Некоторые способы получения информации о действительном значении содержания определяемого компонента</w:t>
      </w:r>
      <w:r w:rsidRPr="00060F77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060F77" w:rsidRPr="00060F77" w:rsidRDefault="00060F77" w:rsidP="00060F77">
      <w:pPr>
        <w:numPr>
          <w:ilvl w:val="0"/>
          <w:numId w:val="7"/>
        </w:numPr>
        <w:spacing w:before="120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60F7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Данные независимого анализа</w:t>
      </w:r>
      <w:r w:rsidRPr="00060F77">
        <w:rPr>
          <w:rFonts w:ascii="Arial" w:eastAsia="Times New Roman" w:hAnsi="Arial" w:cs="Arial"/>
          <w:sz w:val="24"/>
          <w:szCs w:val="24"/>
          <w:lang w:eastAsia="ru-RU"/>
        </w:rPr>
        <w:t> — образец анализируют повторно, используя другую методику анализа, о которой известно, что она не содержит систематической погрешности.</w:t>
      </w:r>
    </w:p>
    <w:p w:rsidR="00060F77" w:rsidRPr="00060F77" w:rsidRDefault="00060F77" w:rsidP="00060F77">
      <w:pPr>
        <w:numPr>
          <w:ilvl w:val="0"/>
          <w:numId w:val="7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60F7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Способ «введено — найдено»</w:t>
      </w:r>
      <w:r w:rsidRPr="00060F77">
        <w:rPr>
          <w:rFonts w:ascii="Arial" w:eastAsia="Times New Roman" w:hAnsi="Arial" w:cs="Arial"/>
          <w:sz w:val="24"/>
          <w:szCs w:val="24"/>
          <w:lang w:eastAsia="ru-RU"/>
        </w:rPr>
        <w:t> — аналитик сам готовит для анализа образец с известным содержанием определяемого компонента, полученный результат («найдено») сравнивают с заданным содержанием («введено»).</w:t>
      </w:r>
    </w:p>
    <w:p w:rsidR="00060F77" w:rsidRPr="00060F77" w:rsidRDefault="00060F77" w:rsidP="00060F77">
      <w:pPr>
        <w:numPr>
          <w:ilvl w:val="0"/>
          <w:numId w:val="7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60F7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Использование стандартных образцов</w:t>
      </w:r>
      <w:r w:rsidRPr="00060F77">
        <w:rPr>
          <w:rFonts w:ascii="Arial" w:eastAsia="Times New Roman" w:hAnsi="Arial" w:cs="Arial"/>
          <w:sz w:val="24"/>
          <w:szCs w:val="24"/>
          <w:lang w:eastAsia="ru-RU"/>
        </w:rPr>
        <w:t> — в качестве объекта анализа выбирают подходящий стандартный образец, а данные о содержании определяемого компонента берут из паспорта образца.</w:t>
      </w:r>
    </w:p>
    <w:p w:rsidR="00B65B92" w:rsidRDefault="00B65B92"/>
    <w:sectPr w:rsidR="00B65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6294D"/>
    <w:multiLevelType w:val="multilevel"/>
    <w:tmpl w:val="42204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102DA2"/>
    <w:multiLevelType w:val="multilevel"/>
    <w:tmpl w:val="B39AB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EE0DEA"/>
    <w:multiLevelType w:val="multilevel"/>
    <w:tmpl w:val="DE6C6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C65A26"/>
    <w:multiLevelType w:val="multilevel"/>
    <w:tmpl w:val="4DB0E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7B37DF"/>
    <w:multiLevelType w:val="multilevel"/>
    <w:tmpl w:val="4C6E9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A740F9"/>
    <w:multiLevelType w:val="multilevel"/>
    <w:tmpl w:val="A93A9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4E1B46"/>
    <w:multiLevelType w:val="multilevel"/>
    <w:tmpl w:val="1E64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ACD"/>
    <w:rsid w:val="00060F77"/>
    <w:rsid w:val="00AA6ACD"/>
    <w:rsid w:val="00B6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0F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060F7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0F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60F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60F77"/>
    <w:rPr>
      <w:b/>
      <w:bCs/>
    </w:rPr>
  </w:style>
  <w:style w:type="character" w:styleId="a4">
    <w:name w:val="Hyperlink"/>
    <w:basedOn w:val="a0"/>
    <w:uiPriority w:val="99"/>
    <w:semiHidden/>
    <w:unhideWhenUsed/>
    <w:rsid w:val="00060F77"/>
    <w:rPr>
      <w:color w:val="0000FF"/>
      <w:u w:val="single"/>
    </w:rPr>
  </w:style>
  <w:style w:type="character" w:customStyle="1" w:styleId="futurisfootnote">
    <w:name w:val="futurisfootnote"/>
    <w:basedOn w:val="a0"/>
    <w:rsid w:val="00060F77"/>
  </w:style>
  <w:style w:type="character" w:customStyle="1" w:styleId="advlabel-text">
    <w:name w:val="advlabel-text"/>
    <w:basedOn w:val="a0"/>
    <w:rsid w:val="00060F77"/>
  </w:style>
  <w:style w:type="paragraph" w:styleId="a5">
    <w:name w:val="Balloon Text"/>
    <w:basedOn w:val="a"/>
    <w:link w:val="a6"/>
    <w:uiPriority w:val="99"/>
    <w:semiHidden/>
    <w:unhideWhenUsed/>
    <w:rsid w:val="00060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0F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0F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060F7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0F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60F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60F77"/>
    <w:rPr>
      <w:b/>
      <w:bCs/>
    </w:rPr>
  </w:style>
  <w:style w:type="character" w:styleId="a4">
    <w:name w:val="Hyperlink"/>
    <w:basedOn w:val="a0"/>
    <w:uiPriority w:val="99"/>
    <w:semiHidden/>
    <w:unhideWhenUsed/>
    <w:rsid w:val="00060F77"/>
    <w:rPr>
      <w:color w:val="0000FF"/>
      <w:u w:val="single"/>
    </w:rPr>
  </w:style>
  <w:style w:type="character" w:customStyle="1" w:styleId="futurisfootnote">
    <w:name w:val="futurisfootnote"/>
    <w:basedOn w:val="a0"/>
    <w:rsid w:val="00060F77"/>
  </w:style>
  <w:style w:type="character" w:customStyle="1" w:styleId="advlabel-text">
    <w:name w:val="advlabel-text"/>
    <w:basedOn w:val="a0"/>
    <w:rsid w:val="00060F77"/>
  </w:style>
  <w:style w:type="paragraph" w:styleId="a5">
    <w:name w:val="Balloon Text"/>
    <w:basedOn w:val="a"/>
    <w:link w:val="a6"/>
    <w:uiPriority w:val="99"/>
    <w:semiHidden/>
    <w:unhideWhenUsed/>
    <w:rsid w:val="00060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0F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5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843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86800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44569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162580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545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6919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45851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8307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9733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04033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14672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33234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24022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3058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43330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08556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23618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1876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59956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60653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4026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3389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1903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24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0578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7058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9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50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.belstu.by/bitstream/123456789/66619/1/%D0%9A%D0%BE%D0%B2%D0%B0%D0%BB%D0%B5%D0%BD%D0%BA%D0%BE_%D0%90%D0%BD%D0%B0%D0%BB%D0%B8%D1%82%D0%B8%D1%87%D0%B5%D1%81%D0%BA%D0%B0%D1%8F%20%D1%85%D0%B8%D0%BC%D0%B8%D1%8F_%D0%A7%D0%B0%D1%81%D1%82%D1%8C%201.pdf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ib.belstu.by/bitstream/123456789/26011/1/Radion_Analiticheskaja%20himija_%202018_1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801</Words>
  <Characters>4566</Characters>
  <Application>Microsoft Office Word</Application>
  <DocSecurity>0</DocSecurity>
  <Lines>38</Lines>
  <Paragraphs>10</Paragraphs>
  <ScaleCrop>false</ScaleCrop>
  <Company/>
  <LinksUpToDate>false</LinksUpToDate>
  <CharactersWithSpaces>5357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2026-02-08T13:02:00Z</dcterms:created>
  <dcterms:modified xsi:type="dcterms:W3CDTF">2026-02-08T13:09:00Z</dcterms:modified>
</cp:coreProperties>
</file>