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51C0AB56" w14:textId="77777777" w:rsidTr="008B0605">
        <w:tc>
          <w:tcPr>
            <w:tcW w:w="2976" w:type="dxa"/>
          </w:tcPr>
          <w:p w14:paraId="79437BC1" w14:textId="7DA89571" w:rsidR="00180DC5" w:rsidRDefault="00696D21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7B5ECAD1" wp14:editId="28631EFD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2CEFA56F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00AA52CB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2136E374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6779F18C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C346E36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A05981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1274EC1B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A927D29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790820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50D84DF5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15339576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76F98118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5CDA5C85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401C3C3F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E55C4F" w:rsidRPr="00E55C4F">
        <w:rPr>
          <w:rFonts w:ascii="Times New Roman" w:hAnsi="Times New Roman" w:cs="Times New Roman"/>
          <w:b/>
          <w:bCs/>
          <w:sz w:val="23"/>
          <w:szCs w:val="23"/>
        </w:rPr>
        <w:t>08.02.01 Строительство и эксплуатация зданий и сооружений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1640263D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>3 года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3607B479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60A35647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7531D734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1419D7E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3E7DB0F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76FB801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96F178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5E6700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1464C28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7887131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0F49B6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2FB431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C49C6D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255EC95B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405F5CF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257E05F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EB86C5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3422012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179224A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5C9425EE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E55C4F">
        <w:rPr>
          <w:rFonts w:ascii="Times New Roman" w:hAnsi="Times New Roman" w:cs="Times New Roman"/>
          <w:b/>
          <w:bCs/>
          <w:sz w:val="23"/>
          <w:szCs w:val="23"/>
          <w:u w:val="single"/>
        </w:rPr>
        <w:t>техник</w:t>
      </w:r>
      <w:r w:rsidR="00E55C4F" w:rsidRPr="008B0605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3A7FF57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59F81C62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1E65D31D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60CE82" w14:textId="77777777" w:rsidR="00A05981" w:rsidRPr="008B0605" w:rsidRDefault="00DC7789" w:rsidP="00A0598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A05981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A05981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05981" w:rsidRPr="004901B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430 560</w:t>
      </w:r>
      <w:r w:rsidR="00A05981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A05981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A05981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A05981" w:rsidRPr="000923BC">
        <w:rPr>
          <w:rFonts w:ascii="Times New Roman" w:hAnsi="Times New Roman"/>
          <w:b/>
          <w:sz w:val="23"/>
          <w:szCs w:val="23"/>
        </w:rPr>
        <w:t>6</w:t>
      </w:r>
      <w:r w:rsidR="00A05981" w:rsidRPr="008B0605">
        <w:rPr>
          <w:rFonts w:ascii="Times New Roman" w:hAnsi="Times New Roman"/>
          <w:b/>
          <w:sz w:val="23"/>
          <w:szCs w:val="23"/>
        </w:rPr>
        <w:t>/202</w:t>
      </w:r>
      <w:r w:rsidR="00A05981" w:rsidRPr="000923BC">
        <w:rPr>
          <w:rFonts w:ascii="Times New Roman" w:hAnsi="Times New Roman"/>
          <w:b/>
          <w:sz w:val="23"/>
          <w:szCs w:val="23"/>
        </w:rPr>
        <w:t>7</w:t>
      </w:r>
      <w:r w:rsidR="00A05981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73DF3C4C" w14:textId="77777777" w:rsidR="00A05981" w:rsidRPr="008B0605" w:rsidRDefault="00A05981" w:rsidP="00A059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56191F1A" w14:textId="77777777" w:rsidR="00DC7789" w:rsidRPr="008B0605" w:rsidRDefault="00DC7789" w:rsidP="00A0598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CCB0D14" w14:textId="77777777" w:rsidR="00DC7789" w:rsidRPr="008B0605" w:rsidRDefault="00DC7789" w:rsidP="00DC7789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34C16992" w14:textId="77777777" w:rsidR="00DC7789" w:rsidRPr="008B0605" w:rsidRDefault="00DC7789" w:rsidP="00DC7789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год; </w:t>
      </w:r>
    </w:p>
    <w:p w14:paraId="7AFBCD71" w14:textId="77777777" w:rsidR="00DC7789" w:rsidRPr="008B0605" w:rsidRDefault="00DC7789" w:rsidP="00DC77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lastRenderedPageBreak/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29056C3A" w14:textId="77777777" w:rsidR="00DC7789" w:rsidRPr="008B0605" w:rsidRDefault="00DC7789" w:rsidP="00DC778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5015B06E" w14:textId="77777777" w:rsidR="00DC7789" w:rsidRPr="008B0605" w:rsidRDefault="00DC7789" w:rsidP="00DC778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6B1E511D" w14:textId="77777777" w:rsidR="00DC7789" w:rsidRPr="008B0605" w:rsidRDefault="00DC7789" w:rsidP="00DC778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051AA79F" w14:textId="77777777" w:rsidR="00DC7789" w:rsidRPr="008B0605" w:rsidRDefault="00DC7789" w:rsidP="00DC778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6A9D2965" w14:textId="77777777" w:rsidR="00DC7789" w:rsidRPr="008B0605" w:rsidRDefault="00DC7789" w:rsidP="00DC778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2A49EF18" w14:textId="77777777" w:rsidR="00DC7789" w:rsidRPr="008B0605" w:rsidRDefault="00DC7789" w:rsidP="00DC7789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716638AB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7998E6D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9DD981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5212C5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24AEA1B5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A7E54A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B82517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17C81C0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708A60B7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7AD2EA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9E2FB4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33CDD6D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7AB8A57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5.2.3. Возмещения понесенных им расходов по устранению недостатков оказанной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образовательной услуги своими силами или третьими лицами.</w:t>
      </w:r>
    </w:p>
    <w:p w14:paraId="18B1980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7021584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A443D3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6ED1B0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133CB2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B0502D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0A4BA98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13B2B62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A03769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01E8AEE9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568ADB63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280F4E65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E3F329C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0985742D" w14:textId="77777777" w:rsidR="0070072F" w:rsidRPr="00A92BCE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125E99"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</w:t>
      </w:r>
      <w:r w:rsidRPr="00A92BCE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14:paraId="5FC68C3B" w14:textId="77777777" w:rsidR="0070072F" w:rsidRPr="00A92BCE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A92BCE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5EFEA1E0" w14:textId="77777777" w:rsidR="00E0352D" w:rsidRPr="00A92BCE" w:rsidRDefault="00E0352D" w:rsidP="00E0352D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A92BCE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69950489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14DBE6C5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5330D5BA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13842953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50320614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2A201E8F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lastRenderedPageBreak/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2D412001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A05981" w:rsidRPr="00C00081" w14:paraId="55E98698" w14:textId="77777777" w:rsidTr="00700DCC">
        <w:tc>
          <w:tcPr>
            <w:tcW w:w="9351" w:type="dxa"/>
            <w:gridSpan w:val="2"/>
            <w:vAlign w:val="center"/>
          </w:tcPr>
          <w:p w14:paraId="367587DA" w14:textId="77777777" w:rsidR="00A05981" w:rsidRPr="00C00081" w:rsidRDefault="00A05981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A05981" w:rsidRPr="004901B1" w14:paraId="001F9A4E" w14:textId="77777777" w:rsidTr="00700DCC">
        <w:tc>
          <w:tcPr>
            <w:tcW w:w="3256" w:type="dxa"/>
            <w:vAlign w:val="center"/>
          </w:tcPr>
          <w:p w14:paraId="7ADD4B3C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169C2AB8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A05981" w:rsidRPr="004901B1" w14:paraId="446C3440" w14:textId="77777777" w:rsidTr="00700DCC">
        <w:tc>
          <w:tcPr>
            <w:tcW w:w="3256" w:type="dxa"/>
            <w:vAlign w:val="center"/>
          </w:tcPr>
          <w:p w14:paraId="576F646C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676C6504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A05981" w:rsidRPr="004901B1" w14:paraId="39EB4E86" w14:textId="77777777" w:rsidTr="00700DCC">
        <w:tc>
          <w:tcPr>
            <w:tcW w:w="3256" w:type="dxa"/>
            <w:vAlign w:val="center"/>
          </w:tcPr>
          <w:p w14:paraId="061D6760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31138579" w14:textId="77777777" w:rsidR="00A05981" w:rsidRPr="00C00081" w:rsidRDefault="00A05981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54F44441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A05981" w:rsidRPr="004901B1" w14:paraId="728D2D2D" w14:textId="77777777" w:rsidTr="00700DCC">
        <w:tc>
          <w:tcPr>
            <w:tcW w:w="3256" w:type="dxa"/>
            <w:vAlign w:val="center"/>
          </w:tcPr>
          <w:p w14:paraId="13304D83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3F1A6478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A05981" w:rsidRPr="004901B1" w14:paraId="1CD2B690" w14:textId="77777777" w:rsidTr="00700DCC">
        <w:tc>
          <w:tcPr>
            <w:tcW w:w="9351" w:type="dxa"/>
            <w:gridSpan w:val="2"/>
          </w:tcPr>
          <w:p w14:paraId="2D0B1288" w14:textId="77777777" w:rsidR="00A05981" w:rsidRPr="00C00081" w:rsidRDefault="00A05981" w:rsidP="00700DCC">
            <w:pPr>
              <w:rPr>
                <w:rFonts w:ascii="Times New Roman" w:hAnsi="Times New Roman"/>
                <w:b/>
                <w:bCs/>
              </w:rPr>
            </w:pPr>
            <w:r w:rsidRPr="00A05981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A05981" w:rsidRPr="004901B1" w14:paraId="10E3E617" w14:textId="77777777" w:rsidTr="00700DCC">
        <w:tc>
          <w:tcPr>
            <w:tcW w:w="3256" w:type="dxa"/>
            <w:vAlign w:val="center"/>
          </w:tcPr>
          <w:p w14:paraId="5AB26CE8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0A08DBC6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A05981" w:rsidRPr="004901B1" w14:paraId="2E835D20" w14:textId="77777777" w:rsidTr="00700DCC">
        <w:tc>
          <w:tcPr>
            <w:tcW w:w="3256" w:type="dxa"/>
            <w:vAlign w:val="bottom"/>
          </w:tcPr>
          <w:p w14:paraId="11FECBD0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76DD9AAA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A05981" w:rsidRPr="004901B1" w14:paraId="5018E926" w14:textId="77777777" w:rsidTr="00700DCC">
        <w:tc>
          <w:tcPr>
            <w:tcW w:w="3256" w:type="dxa"/>
            <w:vAlign w:val="center"/>
          </w:tcPr>
          <w:p w14:paraId="009867BA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71CFE88A" w14:textId="77777777" w:rsidR="00A05981" w:rsidRPr="00C00081" w:rsidRDefault="00A05981" w:rsidP="00700DCC">
            <w:pPr>
              <w:rPr>
                <w:rFonts w:ascii="Times New Roman" w:hAnsi="Times New Roman"/>
                <w:b/>
              </w:rPr>
            </w:pPr>
            <w:r w:rsidRPr="00A059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A05981" w:rsidRPr="004901B1" w14:paraId="782A34A5" w14:textId="77777777" w:rsidTr="00700DCC">
        <w:tc>
          <w:tcPr>
            <w:tcW w:w="3256" w:type="dxa"/>
          </w:tcPr>
          <w:p w14:paraId="66B5354A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50CA3398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A05981" w:rsidRPr="004901B1" w14:paraId="00C31DB4" w14:textId="77777777" w:rsidTr="00700DCC">
        <w:tc>
          <w:tcPr>
            <w:tcW w:w="3256" w:type="dxa"/>
          </w:tcPr>
          <w:p w14:paraId="06328366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5AE7916E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A05981" w:rsidRPr="004901B1" w14:paraId="3F27F5DD" w14:textId="77777777" w:rsidTr="00700DCC">
        <w:tc>
          <w:tcPr>
            <w:tcW w:w="3256" w:type="dxa"/>
          </w:tcPr>
          <w:p w14:paraId="585735B7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24B49795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A05981" w:rsidRPr="004901B1" w14:paraId="145B44E4" w14:textId="77777777" w:rsidTr="00700DCC">
        <w:tc>
          <w:tcPr>
            <w:tcW w:w="3256" w:type="dxa"/>
          </w:tcPr>
          <w:p w14:paraId="7B0FE4BE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2BC7357A" w14:textId="77777777" w:rsidR="00A05981" w:rsidRPr="004901B1" w:rsidRDefault="00A0598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5981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A05981" w:rsidRPr="004901B1" w14:paraId="13CAA17C" w14:textId="77777777" w:rsidTr="00700DCC">
        <w:tc>
          <w:tcPr>
            <w:tcW w:w="3256" w:type="dxa"/>
          </w:tcPr>
          <w:p w14:paraId="0C6EA1D1" w14:textId="77777777" w:rsidR="00A05981" w:rsidRPr="00A05981" w:rsidRDefault="00A05981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0B42913E" w14:textId="77777777" w:rsidR="00A05981" w:rsidRPr="00A05981" w:rsidRDefault="00A05981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5FA1E118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54D512E3" w14:textId="77777777" w:rsidTr="002D7B0A">
        <w:tc>
          <w:tcPr>
            <w:tcW w:w="9345" w:type="dxa"/>
          </w:tcPr>
          <w:p w14:paraId="604547C2" w14:textId="77777777" w:rsidR="002D7B0A" w:rsidRPr="00A05981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0598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5CDEC8D9" w14:textId="77777777" w:rsidR="002D7B0A" w:rsidRPr="00A05981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05981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69CC11D5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714D423E" w14:textId="77777777" w:rsidTr="002D7B0A">
        <w:tc>
          <w:tcPr>
            <w:tcW w:w="9345" w:type="dxa"/>
          </w:tcPr>
          <w:p w14:paraId="0D4267A2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8E6B2C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B24F1A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91634C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9B460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0FDB733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70DF9649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4C956D2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1B8923B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772D212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195E2CB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4CE7187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58A263D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68DD54C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0E09FAB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2FE3D63C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529E8587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755BB2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7F4B725C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0C6F2431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CC2D84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FADFE5" w14:textId="77777777" w:rsidR="00A05981" w:rsidRDefault="00A05981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6C1DD9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C1D68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054F40C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4C74B60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3478436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4BE688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="00E55C4F" w:rsidRPr="00706008">
              <w:rPr>
                <w:rFonts w:ascii="Times New Roman" w:hAnsi="Times New Roman"/>
                <w:sz w:val="20"/>
                <w:szCs w:val="20"/>
              </w:rPr>
              <w:t>подразделения: _</w:t>
            </w:r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17BC35D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2A6B5C0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73B6D60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483DC80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053057C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2AA4BBA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0CBF8BE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B67B48D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865A9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3BF32EFF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8DE6A" w14:textId="77777777" w:rsidR="00782547" w:rsidRDefault="00782547">
      <w:pPr>
        <w:spacing w:after="0" w:line="240" w:lineRule="auto"/>
      </w:pPr>
      <w:r>
        <w:separator/>
      </w:r>
    </w:p>
  </w:endnote>
  <w:endnote w:type="continuationSeparator" w:id="0">
    <w:p w14:paraId="07270032" w14:textId="77777777" w:rsidR="00782547" w:rsidRDefault="0078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122D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2EAB2FAD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7C07D" w14:textId="77777777" w:rsidR="00782547" w:rsidRDefault="00782547">
      <w:pPr>
        <w:spacing w:after="0" w:line="240" w:lineRule="auto"/>
      </w:pPr>
      <w:r>
        <w:separator/>
      </w:r>
    </w:p>
  </w:footnote>
  <w:footnote w:type="continuationSeparator" w:id="0">
    <w:p w14:paraId="57EE97D1" w14:textId="77777777" w:rsidR="00782547" w:rsidRDefault="0078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24269"/>
    <w:rsid w:val="00084FC5"/>
    <w:rsid w:val="000923BC"/>
    <w:rsid w:val="000A7FE3"/>
    <w:rsid w:val="000B44F3"/>
    <w:rsid w:val="000B6713"/>
    <w:rsid w:val="000C2CF0"/>
    <w:rsid w:val="0010534F"/>
    <w:rsid w:val="00105E9D"/>
    <w:rsid w:val="00125E99"/>
    <w:rsid w:val="001504CC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160E2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57BC2"/>
    <w:rsid w:val="003915DB"/>
    <w:rsid w:val="003B7FC3"/>
    <w:rsid w:val="0040168A"/>
    <w:rsid w:val="004165E9"/>
    <w:rsid w:val="00436292"/>
    <w:rsid w:val="004469E3"/>
    <w:rsid w:val="00447530"/>
    <w:rsid w:val="00451F40"/>
    <w:rsid w:val="00454439"/>
    <w:rsid w:val="004555F9"/>
    <w:rsid w:val="004901B1"/>
    <w:rsid w:val="00495369"/>
    <w:rsid w:val="004B00C3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5350B"/>
    <w:rsid w:val="00674396"/>
    <w:rsid w:val="006916A0"/>
    <w:rsid w:val="00696D21"/>
    <w:rsid w:val="006A389B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2547"/>
    <w:rsid w:val="0078754E"/>
    <w:rsid w:val="00787F65"/>
    <w:rsid w:val="00790820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B0605"/>
    <w:rsid w:val="008B40ED"/>
    <w:rsid w:val="008B75EF"/>
    <w:rsid w:val="008E5F67"/>
    <w:rsid w:val="00905B3C"/>
    <w:rsid w:val="00906122"/>
    <w:rsid w:val="0092027E"/>
    <w:rsid w:val="00920A33"/>
    <w:rsid w:val="00985195"/>
    <w:rsid w:val="00985E34"/>
    <w:rsid w:val="009B139A"/>
    <w:rsid w:val="009C097B"/>
    <w:rsid w:val="009E2F98"/>
    <w:rsid w:val="00A01D73"/>
    <w:rsid w:val="00A05981"/>
    <w:rsid w:val="00A075ED"/>
    <w:rsid w:val="00A14641"/>
    <w:rsid w:val="00A870B1"/>
    <w:rsid w:val="00A9164E"/>
    <w:rsid w:val="00A92BCE"/>
    <w:rsid w:val="00AA396A"/>
    <w:rsid w:val="00AE58FB"/>
    <w:rsid w:val="00B02055"/>
    <w:rsid w:val="00B243E7"/>
    <w:rsid w:val="00B26F62"/>
    <w:rsid w:val="00B34EC2"/>
    <w:rsid w:val="00B40269"/>
    <w:rsid w:val="00B544FF"/>
    <w:rsid w:val="00B87C98"/>
    <w:rsid w:val="00B93F47"/>
    <w:rsid w:val="00BB64AC"/>
    <w:rsid w:val="00BF5AEE"/>
    <w:rsid w:val="00BF77B5"/>
    <w:rsid w:val="00C00081"/>
    <w:rsid w:val="00C36F20"/>
    <w:rsid w:val="00C37559"/>
    <w:rsid w:val="00C406F5"/>
    <w:rsid w:val="00C43FCC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C7789"/>
    <w:rsid w:val="00DD1AB8"/>
    <w:rsid w:val="00DD2308"/>
    <w:rsid w:val="00DE0900"/>
    <w:rsid w:val="00DE48A7"/>
    <w:rsid w:val="00DE5565"/>
    <w:rsid w:val="00DE73E8"/>
    <w:rsid w:val="00DF3F5E"/>
    <w:rsid w:val="00E0352D"/>
    <w:rsid w:val="00E1574A"/>
    <w:rsid w:val="00E26901"/>
    <w:rsid w:val="00E44B1A"/>
    <w:rsid w:val="00E55C4F"/>
    <w:rsid w:val="00E620B7"/>
    <w:rsid w:val="00EB4DEF"/>
    <w:rsid w:val="00EC61E8"/>
    <w:rsid w:val="00EC6245"/>
    <w:rsid w:val="00ED0FB5"/>
    <w:rsid w:val="00ED1D25"/>
    <w:rsid w:val="00ED6462"/>
    <w:rsid w:val="00EE0BCE"/>
    <w:rsid w:val="00EE6291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6D62E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A05981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2620</Words>
  <Characters>14936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2026-07-02T04:05:00Z</dcterms:created>
  <dcterms:modified xsi:type="dcterms:W3CDTF">2026-07-02T04:05:00Z</dcterms:modified>
</cp:coreProperties>
</file>