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9BD" w:rsidRPr="00780869" w:rsidRDefault="00780869">
      <w:pPr>
        <w:rPr>
          <w:rFonts w:ascii="Times New Roman" w:hAnsi="Times New Roman" w:cs="Times New Roman"/>
          <w:b/>
          <w:sz w:val="24"/>
          <w:szCs w:val="24"/>
        </w:rPr>
      </w:pPr>
      <w:r w:rsidRPr="00780869">
        <w:rPr>
          <w:rFonts w:ascii="Times New Roman" w:hAnsi="Times New Roman" w:cs="Times New Roman"/>
          <w:b/>
          <w:sz w:val="24"/>
          <w:szCs w:val="24"/>
        </w:rPr>
        <w:t>Л-6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C64A9">
        <w:rPr>
          <w:rFonts w:ascii="Times New Roman" w:hAnsi="Times New Roman" w:cs="Times New Roman"/>
          <w:b/>
          <w:sz w:val="24"/>
          <w:szCs w:val="24"/>
        </w:rPr>
        <w:t xml:space="preserve"> Открытые горные выработки</w:t>
      </w:r>
      <w:r w:rsidRPr="00780869">
        <w:rPr>
          <w:rFonts w:ascii="Times New Roman" w:hAnsi="Times New Roman" w:cs="Times New Roman"/>
          <w:b/>
          <w:sz w:val="24"/>
          <w:szCs w:val="24"/>
        </w:rPr>
        <w:t>. Классификация капитальных траншей</w:t>
      </w:r>
    </w:p>
    <w:p w:rsidR="00095C69" w:rsidRPr="00095C69" w:rsidRDefault="00095C69" w:rsidP="00BC64A9">
      <w:pPr>
        <w:rPr>
          <w:rFonts w:ascii="Times New Roman" w:hAnsi="Times New Roman" w:cs="Times New Roman"/>
          <w:b/>
          <w:sz w:val="24"/>
          <w:szCs w:val="24"/>
        </w:rPr>
      </w:pPr>
      <w:r w:rsidRPr="00095C69">
        <w:rPr>
          <w:rFonts w:ascii="Times New Roman" w:hAnsi="Times New Roman" w:cs="Times New Roman"/>
          <w:b/>
          <w:sz w:val="24"/>
          <w:szCs w:val="24"/>
        </w:rPr>
        <w:t>Для дистанционного обучения</w:t>
      </w:r>
    </w:p>
    <w:p w:rsidR="00095C69" w:rsidRDefault="00095C69" w:rsidP="00095C69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Сделать конспект лекции в тетради</w:t>
      </w:r>
    </w:p>
    <w:p w:rsidR="00095C69" w:rsidRDefault="00095C69" w:rsidP="00095C69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95C69">
        <w:rPr>
          <w:rFonts w:ascii="Times New Roman" w:hAnsi="Times New Roman" w:cs="Times New Roman"/>
          <w:b/>
          <w:sz w:val="24"/>
          <w:szCs w:val="24"/>
        </w:rPr>
        <w:t>Начертить</w:t>
      </w:r>
      <w:r>
        <w:rPr>
          <w:rFonts w:ascii="Times New Roman" w:hAnsi="Times New Roman" w:cs="Times New Roman"/>
          <w:sz w:val="24"/>
          <w:szCs w:val="24"/>
        </w:rPr>
        <w:t xml:space="preserve"> в тетради Рисунки 1 и 2</w:t>
      </w:r>
    </w:p>
    <w:p w:rsidR="00AA33AA" w:rsidRPr="00AA33AA" w:rsidRDefault="00AA33AA" w:rsidP="00095C69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A33AA">
        <w:rPr>
          <w:rFonts w:ascii="Times New Roman" w:hAnsi="Times New Roman" w:cs="Times New Roman"/>
          <w:sz w:val="24"/>
          <w:szCs w:val="24"/>
        </w:rPr>
        <w:t>Остальные рисунки распечатать и вклеить в тетрадь</w:t>
      </w:r>
    </w:p>
    <w:p w:rsidR="00780869" w:rsidRPr="00BC64A9" w:rsidRDefault="00BC64A9" w:rsidP="00095C69">
      <w:pPr>
        <w:jc w:val="both"/>
        <w:rPr>
          <w:rFonts w:ascii="Times New Roman" w:hAnsi="Times New Roman" w:cs="Times New Roman"/>
          <w:sz w:val="24"/>
          <w:szCs w:val="24"/>
        </w:rPr>
      </w:pPr>
      <w:r w:rsidRPr="00BC64A9">
        <w:rPr>
          <w:rFonts w:ascii="Times New Roman" w:hAnsi="Times New Roman" w:cs="Times New Roman"/>
          <w:sz w:val="24"/>
          <w:szCs w:val="24"/>
        </w:rPr>
        <w:t>Горная выработка – искусственная полость в земной коре и на поверхности, созданная для ее исследования, поисков и разведки, извлечения полезных ископаемых, инженерно-строительных и других целей.</w:t>
      </w:r>
      <w:bookmarkStart w:id="0" w:name="_GoBack"/>
      <w:bookmarkEnd w:id="0"/>
    </w:p>
    <w:p w:rsidR="00780869" w:rsidRDefault="00BC64A9" w:rsidP="00095C69">
      <w:pPr>
        <w:jc w:val="both"/>
        <w:rPr>
          <w:rFonts w:ascii="Times New Roman" w:hAnsi="Times New Roman" w:cs="Times New Roman"/>
          <w:sz w:val="24"/>
          <w:szCs w:val="24"/>
        </w:rPr>
      </w:pPr>
      <w:r w:rsidRPr="00BC64A9">
        <w:rPr>
          <w:rFonts w:ascii="Times New Roman" w:hAnsi="Times New Roman" w:cs="Times New Roman"/>
          <w:sz w:val="24"/>
          <w:szCs w:val="24"/>
        </w:rPr>
        <w:t>По отношению к современному рельефу горные выработки разделяются на открытые и подземные.</w:t>
      </w:r>
    </w:p>
    <w:p w:rsidR="00095C69" w:rsidRDefault="00095C69" w:rsidP="00095C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открытым горным выработкам относятся – траншеи, канавы, котлован.</w:t>
      </w:r>
    </w:p>
    <w:p w:rsidR="00095C69" w:rsidRDefault="00095C69" w:rsidP="00095C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Траншея</w:t>
      </w:r>
      <w:r w:rsidRPr="00095C69">
        <w:rPr>
          <w:rFonts w:ascii="Times New Roman" w:hAnsi="Times New Roman" w:cs="Times New Roman"/>
          <w:sz w:val="24"/>
          <w:szCs w:val="24"/>
        </w:rPr>
        <w:t xml:space="preserve"> — это открытая горная выработка, имеющая трапециевидное поперечное сечение и значительную длину по сравнению с её шириной и глубиной. Она ограничена снизу подошвой (дном), а с боков — наклонными плоскостями (бортами) по длине и торцами по ширине.</w:t>
      </w:r>
    </w:p>
    <w:p w:rsidR="00095C69" w:rsidRPr="00095C69" w:rsidRDefault="00095C69" w:rsidP="00095C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Траншеи подразделяются на:</w:t>
      </w:r>
    </w:p>
    <w:p w:rsidR="00095C69" w:rsidRPr="00095C69" w:rsidRDefault="00095C69" w:rsidP="00095C69">
      <w:pPr>
        <w:jc w:val="both"/>
        <w:rPr>
          <w:rFonts w:ascii="Times New Roman" w:hAnsi="Times New Roman" w:cs="Times New Roman"/>
          <w:sz w:val="24"/>
          <w:szCs w:val="24"/>
        </w:rPr>
      </w:pPr>
      <w:r w:rsidRPr="00095C69">
        <w:rPr>
          <w:rFonts w:ascii="Times New Roman" w:hAnsi="Times New Roman" w:cs="Times New Roman"/>
          <w:b/>
          <w:sz w:val="24"/>
          <w:szCs w:val="24"/>
        </w:rPr>
        <w:t xml:space="preserve">Капитальная траншея </w:t>
      </w:r>
      <w:r w:rsidRPr="00095C69">
        <w:rPr>
          <w:rFonts w:ascii="Times New Roman" w:hAnsi="Times New Roman" w:cs="Times New Roman"/>
          <w:sz w:val="24"/>
          <w:szCs w:val="24"/>
        </w:rPr>
        <w:t>– открытая наклонная горная выработка, предназначенная для вскрытия рабочих горизонтов.</w:t>
      </w:r>
      <w:r>
        <w:rPr>
          <w:rFonts w:ascii="Times New Roman" w:hAnsi="Times New Roman" w:cs="Times New Roman"/>
          <w:sz w:val="24"/>
          <w:szCs w:val="24"/>
        </w:rPr>
        <w:t xml:space="preserve"> (Рисунок 1)</w:t>
      </w:r>
    </w:p>
    <w:p w:rsidR="00095C69" w:rsidRDefault="00095C69" w:rsidP="00095C69">
      <w:pPr>
        <w:jc w:val="both"/>
        <w:rPr>
          <w:rFonts w:ascii="Times New Roman" w:hAnsi="Times New Roman" w:cs="Times New Roman"/>
          <w:sz w:val="24"/>
          <w:szCs w:val="24"/>
        </w:rPr>
      </w:pPr>
      <w:r w:rsidRPr="00095C69">
        <w:rPr>
          <w:rFonts w:ascii="Times New Roman" w:hAnsi="Times New Roman" w:cs="Times New Roman"/>
          <w:b/>
          <w:sz w:val="24"/>
          <w:szCs w:val="24"/>
        </w:rPr>
        <w:t>Разрезная траншея</w:t>
      </w:r>
      <w:r w:rsidRPr="00095C69">
        <w:rPr>
          <w:rFonts w:ascii="Times New Roman" w:hAnsi="Times New Roman" w:cs="Times New Roman"/>
          <w:sz w:val="24"/>
          <w:szCs w:val="24"/>
        </w:rPr>
        <w:t xml:space="preserve"> – горизонтальная открытая горная выработка, предназначенная для подготовки вскрытых горизонтов к разработке горной массы и создания фронта работ на уступах.</w:t>
      </w:r>
      <w:r w:rsidRPr="00095C69">
        <w:t xml:space="preserve"> </w:t>
      </w:r>
      <w:r>
        <w:rPr>
          <w:rFonts w:ascii="Times New Roman" w:hAnsi="Times New Roman" w:cs="Times New Roman"/>
          <w:sz w:val="24"/>
          <w:szCs w:val="24"/>
        </w:rPr>
        <w:t>(Рисунок 2</w:t>
      </w:r>
      <w:r w:rsidRPr="00095C69">
        <w:rPr>
          <w:rFonts w:ascii="Times New Roman" w:hAnsi="Times New Roman" w:cs="Times New Roman"/>
          <w:sz w:val="24"/>
          <w:szCs w:val="24"/>
        </w:rPr>
        <w:t>)</w:t>
      </w:r>
    </w:p>
    <w:p w:rsidR="00095C69" w:rsidRPr="00095C69" w:rsidRDefault="00095C69" w:rsidP="00095C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95C69">
        <w:rPr>
          <w:rFonts w:ascii="Times New Roman" w:hAnsi="Times New Roman" w:cs="Times New Roman"/>
          <w:b/>
          <w:bCs/>
          <w:sz w:val="24"/>
          <w:szCs w:val="24"/>
        </w:rPr>
        <w:t>Классификация капитальных траншей</w:t>
      </w:r>
    </w:p>
    <w:p w:rsidR="00095C69" w:rsidRPr="00095C69" w:rsidRDefault="00095C69" w:rsidP="00095C69">
      <w:pPr>
        <w:rPr>
          <w:rFonts w:ascii="Times New Roman" w:hAnsi="Times New Roman" w:cs="Times New Roman"/>
          <w:sz w:val="24"/>
          <w:szCs w:val="24"/>
        </w:rPr>
      </w:pPr>
      <w:r w:rsidRPr="00095C69">
        <w:rPr>
          <w:rFonts w:ascii="Times New Roman" w:hAnsi="Times New Roman" w:cs="Times New Roman"/>
          <w:b/>
          <w:bCs/>
          <w:sz w:val="24"/>
          <w:szCs w:val="24"/>
        </w:rPr>
        <w:t>По расположению относительно контура карьера:</w:t>
      </w:r>
    </w:p>
    <w:p w:rsidR="00095C69" w:rsidRPr="00095C69" w:rsidRDefault="00095C69" w:rsidP="00095C6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5C69">
        <w:rPr>
          <w:rFonts w:ascii="Times New Roman" w:hAnsi="Times New Roman" w:cs="Times New Roman"/>
          <w:b/>
          <w:bCs/>
          <w:sz w:val="24"/>
          <w:szCs w:val="24"/>
        </w:rPr>
        <w:t>Внешние</w:t>
      </w:r>
      <w:r w:rsidRPr="00095C69">
        <w:rPr>
          <w:rFonts w:ascii="Times New Roman" w:hAnsi="Times New Roman" w:cs="Times New Roman"/>
          <w:sz w:val="24"/>
          <w:szCs w:val="24"/>
        </w:rPr>
        <w:t> — проходят вне контура карьера.</w:t>
      </w:r>
    </w:p>
    <w:p w:rsidR="00095C69" w:rsidRPr="00095C69" w:rsidRDefault="00095C69" w:rsidP="00095C6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5C69">
        <w:rPr>
          <w:rFonts w:ascii="Times New Roman" w:hAnsi="Times New Roman" w:cs="Times New Roman"/>
          <w:b/>
          <w:bCs/>
          <w:sz w:val="24"/>
          <w:szCs w:val="24"/>
        </w:rPr>
        <w:t>Внутренние</w:t>
      </w:r>
      <w:r w:rsidRPr="00095C69">
        <w:rPr>
          <w:rFonts w:ascii="Times New Roman" w:hAnsi="Times New Roman" w:cs="Times New Roman"/>
          <w:sz w:val="24"/>
          <w:szCs w:val="24"/>
        </w:rPr>
        <w:t> — располагаются внутри конечного контура карьера.</w:t>
      </w:r>
    </w:p>
    <w:p w:rsidR="00095C69" w:rsidRPr="00095C69" w:rsidRDefault="00095C69" w:rsidP="00095C69">
      <w:pPr>
        <w:rPr>
          <w:rFonts w:ascii="Times New Roman" w:hAnsi="Times New Roman" w:cs="Times New Roman"/>
          <w:sz w:val="24"/>
          <w:szCs w:val="24"/>
        </w:rPr>
      </w:pPr>
      <w:r w:rsidRPr="00095C69">
        <w:rPr>
          <w:rFonts w:ascii="Times New Roman" w:hAnsi="Times New Roman" w:cs="Times New Roman"/>
          <w:b/>
          <w:bCs/>
          <w:sz w:val="24"/>
          <w:szCs w:val="24"/>
        </w:rPr>
        <w:t>По числу обслуживаемых уступов:</w:t>
      </w:r>
    </w:p>
    <w:p w:rsidR="00095C69" w:rsidRPr="00095C69" w:rsidRDefault="00095C69" w:rsidP="00095C6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95C69">
        <w:rPr>
          <w:rFonts w:ascii="Times New Roman" w:hAnsi="Times New Roman" w:cs="Times New Roman"/>
          <w:b/>
          <w:bCs/>
          <w:sz w:val="24"/>
          <w:szCs w:val="24"/>
        </w:rPr>
        <w:t>Отдельные (независимые)</w:t>
      </w:r>
      <w:r w:rsidRPr="00095C69">
        <w:rPr>
          <w:rFonts w:ascii="Times New Roman" w:hAnsi="Times New Roman" w:cs="Times New Roman"/>
          <w:sz w:val="24"/>
          <w:szCs w:val="24"/>
        </w:rPr>
        <w:t> — вскрывают только один уступ.</w:t>
      </w:r>
    </w:p>
    <w:p w:rsidR="00095C69" w:rsidRPr="00095C69" w:rsidRDefault="00095C69" w:rsidP="00095C6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95C69">
        <w:rPr>
          <w:rFonts w:ascii="Times New Roman" w:hAnsi="Times New Roman" w:cs="Times New Roman"/>
          <w:b/>
          <w:bCs/>
          <w:sz w:val="24"/>
          <w:szCs w:val="24"/>
        </w:rPr>
        <w:t>Групповые</w:t>
      </w:r>
      <w:r w:rsidRPr="00095C69">
        <w:rPr>
          <w:rFonts w:ascii="Times New Roman" w:hAnsi="Times New Roman" w:cs="Times New Roman"/>
          <w:sz w:val="24"/>
          <w:szCs w:val="24"/>
        </w:rPr>
        <w:t> — обслуживают группу уступов.</w:t>
      </w:r>
    </w:p>
    <w:p w:rsidR="00095C69" w:rsidRPr="00095C69" w:rsidRDefault="00095C69" w:rsidP="00095C6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95C69">
        <w:rPr>
          <w:rFonts w:ascii="Times New Roman" w:hAnsi="Times New Roman" w:cs="Times New Roman"/>
          <w:b/>
          <w:bCs/>
          <w:sz w:val="24"/>
          <w:szCs w:val="24"/>
        </w:rPr>
        <w:t>Общие (зависимые)</w:t>
      </w:r>
      <w:r w:rsidRPr="00095C69">
        <w:rPr>
          <w:rFonts w:ascii="Times New Roman" w:hAnsi="Times New Roman" w:cs="Times New Roman"/>
          <w:sz w:val="24"/>
          <w:szCs w:val="24"/>
        </w:rPr>
        <w:t> — вскрывают все уступы карьера.</w:t>
      </w:r>
    </w:p>
    <w:p w:rsidR="00095C69" w:rsidRPr="00095C69" w:rsidRDefault="00095C69" w:rsidP="00095C69">
      <w:pPr>
        <w:rPr>
          <w:rFonts w:ascii="Times New Roman" w:hAnsi="Times New Roman" w:cs="Times New Roman"/>
          <w:sz w:val="24"/>
          <w:szCs w:val="24"/>
        </w:rPr>
      </w:pPr>
      <w:r w:rsidRPr="00095C69">
        <w:rPr>
          <w:rFonts w:ascii="Times New Roman" w:hAnsi="Times New Roman" w:cs="Times New Roman"/>
          <w:sz w:val="24"/>
          <w:szCs w:val="24"/>
        </w:rPr>
        <w:t> </w:t>
      </w:r>
      <w:r w:rsidRPr="00095C69">
        <w:rPr>
          <w:rFonts w:ascii="Times New Roman" w:hAnsi="Times New Roman" w:cs="Times New Roman"/>
          <w:b/>
          <w:bCs/>
          <w:sz w:val="24"/>
          <w:szCs w:val="24"/>
        </w:rPr>
        <w:t>По назначению:</w:t>
      </w:r>
    </w:p>
    <w:p w:rsidR="00095C69" w:rsidRPr="00095C69" w:rsidRDefault="00095C69" w:rsidP="00095C69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95C69">
        <w:rPr>
          <w:rFonts w:ascii="Times New Roman" w:hAnsi="Times New Roman" w:cs="Times New Roman"/>
          <w:b/>
          <w:bCs/>
          <w:sz w:val="24"/>
          <w:szCs w:val="24"/>
        </w:rPr>
        <w:t>Одинарные</w:t>
      </w:r>
      <w:r w:rsidRPr="00095C69">
        <w:rPr>
          <w:rFonts w:ascii="Times New Roman" w:hAnsi="Times New Roman" w:cs="Times New Roman"/>
          <w:sz w:val="24"/>
          <w:szCs w:val="24"/>
        </w:rPr>
        <w:t> — служат для движения гружёного и порожнего транспорта (встречное движение).</w:t>
      </w:r>
    </w:p>
    <w:p w:rsidR="00095C69" w:rsidRPr="00095C69" w:rsidRDefault="00095C69" w:rsidP="00095C69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95C69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Парные</w:t>
      </w:r>
      <w:r w:rsidRPr="00095C69">
        <w:rPr>
          <w:rFonts w:ascii="Times New Roman" w:hAnsi="Times New Roman" w:cs="Times New Roman"/>
          <w:sz w:val="24"/>
          <w:szCs w:val="24"/>
        </w:rPr>
        <w:t> — две траншеи, где одна используется только для движения гружёных транспортных средств, а другая — только для порожних (поточная схема).</w:t>
      </w:r>
    </w:p>
    <w:p w:rsidR="00095C69" w:rsidRPr="00095C69" w:rsidRDefault="00095C69" w:rsidP="00095C69">
      <w:pPr>
        <w:rPr>
          <w:rFonts w:ascii="Times New Roman" w:hAnsi="Times New Roman" w:cs="Times New Roman"/>
          <w:sz w:val="24"/>
          <w:szCs w:val="24"/>
        </w:rPr>
      </w:pPr>
      <w:r w:rsidRPr="00095C69">
        <w:rPr>
          <w:rFonts w:ascii="Times New Roman" w:hAnsi="Times New Roman" w:cs="Times New Roman"/>
          <w:b/>
          <w:bCs/>
          <w:sz w:val="24"/>
          <w:szCs w:val="24"/>
        </w:rPr>
        <w:t>По сроку службы:</w:t>
      </w:r>
    </w:p>
    <w:p w:rsidR="00095C69" w:rsidRPr="00095C69" w:rsidRDefault="00095C69" w:rsidP="00095C69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95C69">
        <w:rPr>
          <w:rFonts w:ascii="Times New Roman" w:hAnsi="Times New Roman" w:cs="Times New Roman"/>
          <w:b/>
          <w:bCs/>
          <w:sz w:val="24"/>
          <w:szCs w:val="24"/>
        </w:rPr>
        <w:t>Стационарные</w:t>
      </w:r>
      <w:r w:rsidRPr="00095C69">
        <w:rPr>
          <w:rFonts w:ascii="Times New Roman" w:hAnsi="Times New Roman" w:cs="Times New Roman"/>
          <w:sz w:val="24"/>
          <w:szCs w:val="24"/>
        </w:rPr>
        <w:t> — постоянно расположены за контуром или на бортах в конечном положении.</w:t>
      </w:r>
    </w:p>
    <w:p w:rsidR="00095C69" w:rsidRPr="00095C69" w:rsidRDefault="00095C69" w:rsidP="00095C69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95C69">
        <w:rPr>
          <w:rFonts w:ascii="Times New Roman" w:hAnsi="Times New Roman" w:cs="Times New Roman"/>
          <w:b/>
          <w:bCs/>
          <w:sz w:val="24"/>
          <w:szCs w:val="24"/>
        </w:rPr>
        <w:t>Скользящие (временные)</w:t>
      </w:r>
      <w:r w:rsidRPr="00095C69">
        <w:rPr>
          <w:rFonts w:ascii="Times New Roman" w:hAnsi="Times New Roman" w:cs="Times New Roman"/>
          <w:sz w:val="24"/>
          <w:szCs w:val="24"/>
        </w:rPr>
        <w:t xml:space="preserve"> — перемещаются вместе с рабочим бортом карьера по мере его </w:t>
      </w:r>
      <w:proofErr w:type="spellStart"/>
      <w:r w:rsidRPr="00095C69">
        <w:rPr>
          <w:rFonts w:ascii="Times New Roman" w:hAnsi="Times New Roman" w:cs="Times New Roman"/>
          <w:sz w:val="24"/>
          <w:szCs w:val="24"/>
        </w:rPr>
        <w:t>подвигания</w:t>
      </w:r>
      <w:proofErr w:type="spellEnd"/>
      <w:r w:rsidRPr="00095C69">
        <w:rPr>
          <w:rFonts w:ascii="Times New Roman" w:hAnsi="Times New Roman" w:cs="Times New Roman"/>
          <w:sz w:val="24"/>
          <w:szCs w:val="24"/>
        </w:rPr>
        <w:t>.</w:t>
      </w:r>
    </w:p>
    <w:p w:rsidR="00095C69" w:rsidRPr="00095C69" w:rsidRDefault="00095C69" w:rsidP="00095C69">
      <w:pPr>
        <w:rPr>
          <w:rFonts w:ascii="Times New Roman" w:hAnsi="Times New Roman" w:cs="Times New Roman"/>
          <w:sz w:val="24"/>
          <w:szCs w:val="24"/>
        </w:rPr>
      </w:pPr>
      <w:r w:rsidRPr="00095C69">
        <w:rPr>
          <w:rFonts w:ascii="Times New Roman" w:hAnsi="Times New Roman" w:cs="Times New Roman"/>
          <w:b/>
          <w:bCs/>
          <w:sz w:val="24"/>
          <w:szCs w:val="24"/>
        </w:rPr>
        <w:t>По углу наклона:</w:t>
      </w:r>
    </w:p>
    <w:p w:rsidR="00095C69" w:rsidRPr="00095C69" w:rsidRDefault="00095C69" w:rsidP="00095C69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95C69">
        <w:rPr>
          <w:rFonts w:ascii="Times New Roman" w:hAnsi="Times New Roman" w:cs="Times New Roman"/>
          <w:b/>
          <w:bCs/>
          <w:sz w:val="24"/>
          <w:szCs w:val="24"/>
        </w:rPr>
        <w:t>Наклонные</w:t>
      </w:r>
      <w:r w:rsidRPr="00095C69">
        <w:rPr>
          <w:rFonts w:ascii="Times New Roman" w:hAnsi="Times New Roman" w:cs="Times New Roman"/>
          <w:sz w:val="24"/>
          <w:szCs w:val="24"/>
        </w:rPr>
        <w:t> — с уклоном не более 20‰, предназначены для движения железнодорожного и автомобильного транспорта.</w:t>
      </w:r>
    </w:p>
    <w:p w:rsidR="00095C69" w:rsidRPr="00095C69" w:rsidRDefault="00095C69" w:rsidP="00095C69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95C69">
        <w:rPr>
          <w:rFonts w:ascii="Times New Roman" w:hAnsi="Times New Roman" w:cs="Times New Roman"/>
          <w:b/>
          <w:bCs/>
          <w:sz w:val="24"/>
          <w:szCs w:val="24"/>
        </w:rPr>
        <w:t>Крутые</w:t>
      </w:r>
      <w:r w:rsidRPr="00095C69">
        <w:rPr>
          <w:rFonts w:ascii="Times New Roman" w:hAnsi="Times New Roman" w:cs="Times New Roman"/>
          <w:sz w:val="24"/>
          <w:szCs w:val="24"/>
        </w:rPr>
        <w:t> — с уклоном более 20‰, используются для размещения конвейеров, скиповых и клетевых подъёмников.</w:t>
      </w:r>
    </w:p>
    <w:p w:rsidR="00095C69" w:rsidRPr="00095C69" w:rsidRDefault="00095C69" w:rsidP="00095C69">
      <w:pPr>
        <w:rPr>
          <w:rFonts w:ascii="Times New Roman" w:hAnsi="Times New Roman" w:cs="Times New Roman"/>
          <w:sz w:val="24"/>
          <w:szCs w:val="24"/>
        </w:rPr>
      </w:pPr>
      <w:r w:rsidRPr="00095C69">
        <w:rPr>
          <w:rFonts w:ascii="Times New Roman" w:hAnsi="Times New Roman" w:cs="Times New Roman"/>
          <w:b/>
          <w:bCs/>
          <w:sz w:val="24"/>
          <w:szCs w:val="24"/>
        </w:rPr>
        <w:t>По форме трассы:</w:t>
      </w:r>
    </w:p>
    <w:p w:rsidR="00095C69" w:rsidRPr="00095C69" w:rsidRDefault="00095C69" w:rsidP="00095C69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95C69">
        <w:rPr>
          <w:rFonts w:ascii="Times New Roman" w:hAnsi="Times New Roman" w:cs="Times New Roman"/>
          <w:b/>
          <w:bCs/>
          <w:sz w:val="24"/>
          <w:szCs w:val="24"/>
        </w:rPr>
        <w:t>Простые</w:t>
      </w:r>
      <w:r w:rsidRPr="00095C69">
        <w:rPr>
          <w:rFonts w:ascii="Times New Roman" w:hAnsi="Times New Roman" w:cs="Times New Roman"/>
          <w:sz w:val="24"/>
          <w:szCs w:val="24"/>
        </w:rPr>
        <w:t> — имеют одно направление по всей длине.</w:t>
      </w:r>
    </w:p>
    <w:p w:rsidR="00095C69" w:rsidRPr="00095C69" w:rsidRDefault="00095C69" w:rsidP="00095C69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95C69">
        <w:rPr>
          <w:rFonts w:ascii="Times New Roman" w:hAnsi="Times New Roman" w:cs="Times New Roman"/>
          <w:b/>
          <w:bCs/>
          <w:sz w:val="24"/>
          <w:szCs w:val="24"/>
        </w:rPr>
        <w:t>Сложные</w:t>
      </w:r>
      <w:r w:rsidRPr="00095C69">
        <w:rPr>
          <w:rFonts w:ascii="Times New Roman" w:hAnsi="Times New Roman" w:cs="Times New Roman"/>
          <w:sz w:val="24"/>
          <w:szCs w:val="24"/>
        </w:rPr>
        <w:t> — состоят из нескольких участков разного направления. К сложным относятся петлевые, спиральные и тупиковые траншеи.</w:t>
      </w:r>
    </w:p>
    <w:p w:rsidR="00095C69" w:rsidRDefault="00095C69" w:rsidP="00095C69">
      <w:pPr>
        <w:rPr>
          <w:rFonts w:ascii="Times New Roman" w:hAnsi="Times New Roman" w:cs="Times New Roman"/>
          <w:sz w:val="24"/>
          <w:szCs w:val="24"/>
        </w:rPr>
      </w:pPr>
      <w:r w:rsidRPr="00095C69">
        <w:rPr>
          <w:rFonts w:ascii="Times New Roman" w:hAnsi="Times New Roman" w:cs="Times New Roman"/>
          <w:sz w:val="24"/>
          <w:szCs w:val="24"/>
        </w:rPr>
        <w:t>Выбор типа капитальной траншеи зависит от множества факторов: глубины и формы месторождения, числа уступов, вида используемого транспорта, горно-геологических условий и других параметров.</w:t>
      </w:r>
    </w:p>
    <w:p w:rsidR="00095C69" w:rsidRPr="00095C69" w:rsidRDefault="00095C69" w:rsidP="00095C69">
      <w:pPr>
        <w:rPr>
          <w:rFonts w:ascii="Times New Roman" w:hAnsi="Times New Roman" w:cs="Times New Roman"/>
          <w:b/>
          <w:sz w:val="28"/>
          <w:szCs w:val="28"/>
        </w:rPr>
      </w:pPr>
      <w:r w:rsidRPr="00095C69">
        <w:rPr>
          <w:rFonts w:ascii="Times New Roman" w:hAnsi="Times New Roman" w:cs="Times New Roman"/>
          <w:b/>
          <w:sz w:val="28"/>
          <w:szCs w:val="28"/>
        </w:rPr>
        <w:t>Рисунок 1 – капитальная траншея</w:t>
      </w:r>
    </w:p>
    <w:p w:rsidR="001544C5" w:rsidRDefault="001544C5">
      <w:r>
        <w:rPr>
          <w:noProof/>
          <w:lang w:eastAsia="ru-RU"/>
        </w:rPr>
        <w:drawing>
          <wp:inline distT="0" distB="0" distL="0" distR="0">
            <wp:extent cx="5598543" cy="3309939"/>
            <wp:effectExtent l="0" t="0" r="254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31"/>
                    <a:stretch/>
                  </pic:blipFill>
                  <pic:spPr bwMode="auto">
                    <a:xfrm>
                      <a:off x="0" y="0"/>
                      <a:ext cx="5611135" cy="33173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5C69" w:rsidRDefault="00095C69">
      <w:pPr>
        <w:rPr>
          <w:noProof/>
          <w:lang w:eastAsia="ru-RU"/>
        </w:rPr>
      </w:pPr>
    </w:p>
    <w:p w:rsidR="00095C69" w:rsidRDefault="00095C69">
      <w:pPr>
        <w:rPr>
          <w:noProof/>
          <w:lang w:eastAsia="ru-RU"/>
        </w:rPr>
      </w:pPr>
    </w:p>
    <w:p w:rsidR="00095C69" w:rsidRDefault="00095C69">
      <w:pPr>
        <w:rPr>
          <w:noProof/>
          <w:lang w:eastAsia="ru-RU"/>
        </w:rPr>
      </w:pPr>
    </w:p>
    <w:p w:rsidR="00095C69" w:rsidRDefault="00095C69">
      <w:pPr>
        <w:rPr>
          <w:noProof/>
          <w:lang w:eastAsia="ru-RU"/>
        </w:rPr>
      </w:pPr>
    </w:p>
    <w:p w:rsidR="001544C5" w:rsidRDefault="00095C69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95C6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Рисунок 2 – разрезная траншея</w:t>
      </w:r>
      <w:r w:rsidR="001544C5">
        <w:rPr>
          <w:noProof/>
          <w:lang w:eastAsia="ru-RU"/>
        </w:rPr>
        <w:drawing>
          <wp:inline distT="0" distB="0" distL="0" distR="0">
            <wp:extent cx="5038058" cy="3325902"/>
            <wp:effectExtent l="0" t="0" r="0" b="82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09"/>
                    <a:stretch/>
                  </pic:blipFill>
                  <pic:spPr bwMode="auto">
                    <a:xfrm>
                      <a:off x="0" y="0"/>
                      <a:ext cx="5054194" cy="33365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5C69" w:rsidRDefault="00095C69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095C69" w:rsidRDefault="00095C69"/>
    <w:p w:rsidR="001544C5" w:rsidRDefault="001544C5">
      <w:r>
        <w:rPr>
          <w:noProof/>
          <w:lang w:eastAsia="ru-RU"/>
        </w:rPr>
        <w:lastRenderedPageBreak/>
        <w:drawing>
          <wp:inline distT="0" distB="0" distL="0" distR="0">
            <wp:extent cx="5940425" cy="393319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3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4C5" w:rsidRDefault="001544C5">
      <w:r>
        <w:rPr>
          <w:noProof/>
          <w:lang w:eastAsia="ru-RU"/>
        </w:rPr>
        <w:drawing>
          <wp:inline distT="0" distB="0" distL="0" distR="0">
            <wp:extent cx="5940425" cy="4088130"/>
            <wp:effectExtent l="0" t="0" r="3175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8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4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10777"/>
    <w:multiLevelType w:val="multilevel"/>
    <w:tmpl w:val="03649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384DA0"/>
    <w:multiLevelType w:val="hybridMultilevel"/>
    <w:tmpl w:val="53347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F74DEA"/>
    <w:multiLevelType w:val="multilevel"/>
    <w:tmpl w:val="BF9C7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8F5CC8"/>
    <w:multiLevelType w:val="multilevel"/>
    <w:tmpl w:val="5568D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5D593C"/>
    <w:multiLevelType w:val="multilevel"/>
    <w:tmpl w:val="2BB06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7A1C9C"/>
    <w:multiLevelType w:val="multilevel"/>
    <w:tmpl w:val="6E3C5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492BB3"/>
    <w:multiLevelType w:val="multilevel"/>
    <w:tmpl w:val="44025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83C"/>
    <w:rsid w:val="000276D0"/>
    <w:rsid w:val="00095C69"/>
    <w:rsid w:val="001544C5"/>
    <w:rsid w:val="00780869"/>
    <w:rsid w:val="009339BD"/>
    <w:rsid w:val="00AA33AA"/>
    <w:rsid w:val="00BC64A9"/>
    <w:rsid w:val="00BF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8FDA4"/>
  <w15:docId w15:val="{8B5A5392-BC72-442D-9224-B0CA6A716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0869"/>
    <w:rPr>
      <w:rFonts w:ascii="Tahoma" w:hAnsi="Tahoma" w:cs="Tahoma"/>
      <w:sz w:val="16"/>
      <w:szCs w:val="16"/>
    </w:rPr>
  </w:style>
  <w:style w:type="paragraph" w:customStyle="1" w:styleId="p108">
    <w:name w:val="p108"/>
    <w:basedOn w:val="a"/>
    <w:rsid w:val="00154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15">
    <w:name w:val="ft15"/>
    <w:basedOn w:val="a0"/>
    <w:rsid w:val="001544C5"/>
  </w:style>
  <w:style w:type="paragraph" w:customStyle="1" w:styleId="p109">
    <w:name w:val="p109"/>
    <w:basedOn w:val="a"/>
    <w:rsid w:val="00154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16">
    <w:name w:val="ft16"/>
    <w:basedOn w:val="a0"/>
    <w:rsid w:val="001544C5"/>
  </w:style>
  <w:style w:type="character" w:styleId="a5">
    <w:name w:val="Hyperlink"/>
    <w:basedOn w:val="a0"/>
    <w:uiPriority w:val="99"/>
    <w:unhideWhenUsed/>
    <w:rsid w:val="00095C6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095C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7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9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573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60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005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05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121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16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08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95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66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73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90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49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269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ASRock</cp:lastModifiedBy>
  <cp:revision>3</cp:revision>
  <dcterms:created xsi:type="dcterms:W3CDTF">2020-08-19T17:02:00Z</dcterms:created>
  <dcterms:modified xsi:type="dcterms:W3CDTF">2026-09-14T11:29:00Z</dcterms:modified>
</cp:coreProperties>
</file>