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AE049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 ОБЗР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1-ОР-26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18.09.2026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«Оборона страны ,как обязательное условие благополучного развития страны»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1. Оборона РФ. Вооружённые силы РФ. Статья 59 Конституции РФ.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2.Основные функции ВС РФ в мирное и военное время.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3.Основные задачи ВС, других войск и органов в мирное и военное время.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Изучите учебный материал и составьте план ответа на вопросы.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Учебное пособие ОБЗР Москва «Просвещение»2025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Параграф 1(стр.8-12)</w:t>
      </w:r>
    </w:p>
    <w:p w14:paraId="10140E7E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9A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2026-09-16T01:48:11Z</dcterms:created>
  <dc:creator>Acer</dc:creator>
  <cp:lastModifiedBy>WPS_1779184017</cp:lastModifiedBy>
  <dcterms:modified xsi:type="dcterms:W3CDTF">2026-09-16T01:48:40Z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eyJoZGlkIjoiMWQzNDBkN2EyZDI3MjA1YTBkY2JiZWNlODQxZjc5MjIiLCJ1c2VySWQiOiI4MjQ2MzUzMzgzMTEifQ==</vt:lpwstr>
  </property>
  <property fmtid="{D5CDD505-2E9C-101B-9397-08002B2CF9AE}" pid="4" name="ICV">
    <vt:lpwstr>F048889DC7C94DE1B6E670A8FE6A6018_12</vt:lpwstr>
  </property>
</Properties>
</file>