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6DC4F" w14:textId="4614BDB4" w:rsidR="00B07EF1" w:rsidRDefault="007A2EE6" w:rsidP="007A2EE6">
      <w:pPr>
        <w:spacing w:after="0" w:line="276" w:lineRule="auto"/>
        <w:jc w:val="center"/>
        <w:rPr>
          <w:rFonts w:asciiTheme="majorBidi" w:hAnsiTheme="majorBidi" w:cstheme="majorBidi"/>
          <w:b/>
          <w:bCs/>
          <w:sz w:val="24"/>
          <w:szCs w:val="24"/>
        </w:rPr>
      </w:pPr>
      <w:r w:rsidRPr="007A2EE6">
        <w:rPr>
          <w:rFonts w:asciiTheme="majorBidi" w:hAnsiTheme="majorBidi" w:cstheme="majorBidi"/>
          <w:b/>
          <w:bCs/>
          <w:sz w:val="24"/>
          <w:szCs w:val="24"/>
        </w:rPr>
        <w:t xml:space="preserve">Тема: </w:t>
      </w:r>
      <w:r w:rsidRPr="007A2EE6">
        <w:rPr>
          <w:rFonts w:asciiTheme="majorBidi" w:hAnsiTheme="majorBidi" w:cstheme="majorBidi"/>
          <w:b/>
          <w:bCs/>
          <w:sz w:val="24"/>
          <w:szCs w:val="24"/>
        </w:rPr>
        <w:t>ЭЛЕМЕНТЫ КАРЬЕРА. ВЛИЯНИЕ ГЕОМЕТРИЧЕСКИХ ПАРАМЕТРОВ НА ОРГАНИЗАЦИЮ РАБОТ И ОФОРМЛЕНИЕ МАРКШЕЙДЕРСКОЙ ДОКУМЕНТАЦИИ</w:t>
      </w:r>
    </w:p>
    <w:p w14:paraId="59E5343D" w14:textId="77777777" w:rsidR="007A2EE6" w:rsidRDefault="007A2EE6" w:rsidP="007E6EE3">
      <w:pPr>
        <w:spacing w:after="0" w:line="276" w:lineRule="auto"/>
        <w:jc w:val="both"/>
        <w:rPr>
          <w:rFonts w:asciiTheme="majorBidi" w:hAnsiTheme="majorBidi" w:cstheme="majorBidi"/>
          <w:b/>
          <w:bCs/>
          <w:sz w:val="24"/>
          <w:szCs w:val="24"/>
        </w:rPr>
      </w:pPr>
    </w:p>
    <w:p w14:paraId="1875DEC0" w14:textId="77777777" w:rsidR="007A2EE6" w:rsidRPr="007A2EE6" w:rsidRDefault="007A2EE6" w:rsidP="007E6EE3">
      <w:pPr>
        <w:spacing w:after="0" w:line="276" w:lineRule="auto"/>
        <w:jc w:val="both"/>
        <w:rPr>
          <w:rFonts w:asciiTheme="majorBidi" w:hAnsiTheme="majorBidi" w:cstheme="majorBidi"/>
          <w:b/>
          <w:bCs/>
          <w:sz w:val="24"/>
          <w:szCs w:val="24"/>
        </w:rPr>
      </w:pPr>
      <w:r w:rsidRPr="007A2EE6">
        <w:rPr>
          <w:rFonts w:asciiTheme="majorBidi" w:hAnsiTheme="majorBidi" w:cstheme="majorBidi"/>
          <w:b/>
          <w:bCs/>
          <w:sz w:val="24"/>
          <w:szCs w:val="24"/>
        </w:rPr>
        <w:t>1. Геометрические параметры элементов системы открытой разработки</w:t>
      </w:r>
    </w:p>
    <w:p w14:paraId="7CEF3301" w14:textId="77777777" w:rsidR="007A2EE6" w:rsidRPr="007A2EE6" w:rsidRDefault="007A2EE6" w:rsidP="007E6EE3">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Горные работы в карьере ведутся в строгом соответствии с проектом, который задает геометрические границы каждого элемента. Отклонение от этих параметров ведет к авариям или потерям оборудования.</w:t>
      </w:r>
    </w:p>
    <w:p w14:paraId="7F84A399" w14:textId="77777777" w:rsidR="007A2EE6" w:rsidRPr="007A2EE6" w:rsidRDefault="007A2EE6" w:rsidP="007E6EE3">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Маркшейдер контролирует следующие проектные параметры элементов карьера:</w:t>
      </w:r>
    </w:p>
    <w:p w14:paraId="72C49D14" w14:textId="2D7BB80A" w:rsidR="007A2EE6" w:rsidRPr="007A2EE6" w:rsidRDefault="007A2EE6" w:rsidP="007E6EE3">
      <w:pPr>
        <w:numPr>
          <w:ilvl w:val="0"/>
          <w:numId w:val="3"/>
        </w:numPr>
        <w:spacing w:after="0" w:line="276" w:lineRule="auto"/>
        <w:jc w:val="both"/>
        <w:rPr>
          <w:rFonts w:asciiTheme="majorBidi" w:hAnsiTheme="majorBidi" w:cstheme="majorBidi"/>
          <w:sz w:val="24"/>
          <w:szCs w:val="24"/>
        </w:rPr>
      </w:pPr>
      <w:r w:rsidRPr="007A2EE6">
        <w:rPr>
          <w:rFonts w:asciiTheme="majorBidi" w:hAnsiTheme="majorBidi" w:cstheme="majorBidi"/>
          <w:sz w:val="24"/>
          <w:szCs w:val="24"/>
        </w:rPr>
        <w:t>Высота уступа (h) — вертикальное расстояние от нижней бровки до верхней площадки уступа.</w:t>
      </w:r>
    </w:p>
    <w:p w14:paraId="336A7F73" w14:textId="350EF97E" w:rsidR="007A2EE6" w:rsidRPr="007A2EE6" w:rsidRDefault="007A2EE6" w:rsidP="007E6EE3">
      <w:pPr>
        <w:numPr>
          <w:ilvl w:val="0"/>
          <w:numId w:val="3"/>
        </w:numPr>
        <w:spacing w:after="0" w:line="276" w:lineRule="auto"/>
        <w:jc w:val="both"/>
        <w:rPr>
          <w:rFonts w:asciiTheme="majorBidi" w:hAnsiTheme="majorBidi" w:cstheme="majorBidi"/>
          <w:sz w:val="24"/>
          <w:szCs w:val="24"/>
        </w:rPr>
      </w:pPr>
      <w:r w:rsidRPr="007A2EE6">
        <w:rPr>
          <w:rFonts w:asciiTheme="majorBidi" w:hAnsiTheme="majorBidi" w:cstheme="majorBidi"/>
          <w:sz w:val="24"/>
          <w:szCs w:val="24"/>
        </w:rPr>
        <w:t>Угол откоса уступа (</w:t>
      </w:r>
      <w:r w:rsidRPr="007A2EE6">
        <w:rPr>
          <w:rFonts w:asciiTheme="majorBidi" w:hAnsiTheme="majorBidi" w:cstheme="majorBidi"/>
          <w:i/>
          <w:iCs/>
          <w:sz w:val="24"/>
          <w:szCs w:val="24"/>
        </w:rPr>
        <w:t>α</w:t>
      </w:r>
      <w:r w:rsidRPr="007A2EE6">
        <w:rPr>
          <w:rFonts w:asciiTheme="majorBidi" w:hAnsiTheme="majorBidi" w:cstheme="majorBidi"/>
          <w:sz w:val="24"/>
          <w:szCs w:val="24"/>
        </w:rPr>
        <w:t>) — угол наклона плоскости откоса к горизонтальной плоскости. Зависит от прочности и трещиноватости горной породы.</w:t>
      </w:r>
    </w:p>
    <w:p w14:paraId="275807B3" w14:textId="5E95C24A" w:rsidR="007A2EE6" w:rsidRPr="007A2EE6" w:rsidRDefault="007A2EE6" w:rsidP="007E6EE3">
      <w:pPr>
        <w:numPr>
          <w:ilvl w:val="0"/>
          <w:numId w:val="3"/>
        </w:numPr>
        <w:spacing w:after="0" w:line="276" w:lineRule="auto"/>
        <w:jc w:val="both"/>
        <w:rPr>
          <w:rFonts w:asciiTheme="majorBidi" w:hAnsiTheme="majorBidi" w:cstheme="majorBidi"/>
          <w:sz w:val="24"/>
          <w:szCs w:val="24"/>
        </w:rPr>
      </w:pPr>
      <w:r w:rsidRPr="007A2EE6">
        <w:rPr>
          <w:rFonts w:asciiTheme="majorBidi" w:hAnsiTheme="majorBidi" w:cstheme="majorBidi"/>
          <w:sz w:val="24"/>
          <w:szCs w:val="24"/>
        </w:rPr>
        <w:t>Ширина рабочей площадки (Ш) — расстояние от нижней бровки вышерасположенного уступа до верхней бровки нижележащего.</w:t>
      </w:r>
    </w:p>
    <w:p w14:paraId="72D5FA71" w14:textId="7D3C7225" w:rsidR="007A2EE6" w:rsidRPr="007A2EE6" w:rsidRDefault="007A2EE6" w:rsidP="007E6EE3">
      <w:pPr>
        <w:numPr>
          <w:ilvl w:val="0"/>
          <w:numId w:val="3"/>
        </w:numPr>
        <w:spacing w:after="0" w:line="276" w:lineRule="auto"/>
        <w:jc w:val="both"/>
        <w:rPr>
          <w:rFonts w:asciiTheme="majorBidi" w:hAnsiTheme="majorBidi" w:cstheme="majorBidi"/>
          <w:sz w:val="24"/>
          <w:szCs w:val="24"/>
        </w:rPr>
      </w:pPr>
      <w:r w:rsidRPr="007A2EE6">
        <w:rPr>
          <w:rFonts w:asciiTheme="majorBidi" w:hAnsiTheme="majorBidi" w:cstheme="majorBidi"/>
          <w:sz w:val="24"/>
          <w:szCs w:val="24"/>
        </w:rPr>
        <w:t>Ширина бермы безопасности (Б) — ширина оставляемой горизонтальной площадки на нерабочем борту для задержки скатывающихся кусков породы.</w:t>
      </w:r>
    </w:p>
    <w:p w14:paraId="10DE2289" w14:textId="7423AE1A" w:rsidR="007A2EE6" w:rsidRPr="007A2EE6" w:rsidRDefault="007A2EE6" w:rsidP="007E6EE3">
      <w:pPr>
        <w:numPr>
          <w:ilvl w:val="0"/>
          <w:numId w:val="3"/>
        </w:numPr>
        <w:spacing w:after="0" w:line="276" w:lineRule="auto"/>
        <w:jc w:val="both"/>
        <w:rPr>
          <w:rFonts w:asciiTheme="majorBidi" w:hAnsiTheme="majorBidi" w:cstheme="majorBidi"/>
          <w:sz w:val="24"/>
          <w:szCs w:val="24"/>
        </w:rPr>
      </w:pPr>
      <w:r w:rsidRPr="007A2EE6">
        <w:rPr>
          <w:rFonts w:asciiTheme="majorBidi" w:hAnsiTheme="majorBidi" w:cstheme="majorBidi"/>
          <w:sz w:val="24"/>
          <w:szCs w:val="24"/>
        </w:rPr>
        <w:t>Продольный уклон съезда (</w:t>
      </w:r>
      <w:r w:rsidRPr="007A2EE6">
        <w:rPr>
          <w:rFonts w:asciiTheme="majorBidi" w:hAnsiTheme="majorBidi" w:cstheme="majorBidi"/>
          <w:i/>
          <w:iCs/>
          <w:sz w:val="24"/>
          <w:szCs w:val="24"/>
        </w:rPr>
        <w:t>i</w:t>
      </w:r>
      <w:r w:rsidRPr="007A2EE6">
        <w:rPr>
          <w:rFonts w:asciiTheme="majorBidi" w:hAnsiTheme="majorBidi" w:cstheme="majorBidi"/>
          <w:sz w:val="24"/>
          <w:szCs w:val="24"/>
        </w:rPr>
        <w:t>) — тангенс угла наклона внутрикарьерной транспортной магистрали.</w:t>
      </w:r>
    </w:p>
    <w:p w14:paraId="6CA3E9BD" w14:textId="77777777" w:rsidR="007A2EE6" w:rsidRPr="007A2EE6" w:rsidRDefault="007A2EE6" w:rsidP="007E6EE3">
      <w:pPr>
        <w:spacing w:after="0" w:line="276" w:lineRule="auto"/>
        <w:jc w:val="both"/>
        <w:rPr>
          <w:rFonts w:asciiTheme="majorBidi" w:hAnsiTheme="majorBidi" w:cstheme="majorBidi"/>
          <w:b/>
          <w:bCs/>
          <w:sz w:val="24"/>
          <w:szCs w:val="24"/>
        </w:rPr>
      </w:pPr>
      <w:r w:rsidRPr="007A2EE6">
        <w:rPr>
          <w:rFonts w:asciiTheme="majorBidi" w:hAnsiTheme="majorBidi" w:cstheme="majorBidi"/>
          <w:b/>
          <w:bCs/>
          <w:sz w:val="24"/>
          <w:szCs w:val="24"/>
        </w:rPr>
        <w:t>2. Влияние параметров элементов карьера на безопасность и организацию горных работ</w:t>
      </w:r>
    </w:p>
    <w:p w14:paraId="3F0E6DE5" w14:textId="102FC6A1" w:rsidR="007A2EE6" w:rsidRDefault="007A2EE6" w:rsidP="007E6EE3">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Параметры элементов карьера неразрывно связаны с техникой безопасности и технологией ведения работ:</w:t>
      </w:r>
    </w:p>
    <w:p w14:paraId="3F1E48CE" w14:textId="0FD4443F" w:rsidR="005F452D" w:rsidRPr="005F452D" w:rsidRDefault="005F452D" w:rsidP="007E6EE3">
      <w:pPr>
        <w:pStyle w:val="a9"/>
        <w:numPr>
          <w:ilvl w:val="0"/>
          <w:numId w:val="7"/>
        </w:numPr>
        <w:tabs>
          <w:tab w:val="left" w:pos="993"/>
        </w:tabs>
        <w:spacing w:after="0" w:line="276" w:lineRule="auto"/>
        <w:ind w:left="0" w:firstLine="709"/>
        <w:jc w:val="both"/>
        <w:rPr>
          <w:rFonts w:asciiTheme="majorBidi" w:hAnsiTheme="majorBidi" w:cstheme="majorBidi"/>
          <w:sz w:val="24"/>
          <w:szCs w:val="24"/>
        </w:rPr>
      </w:pPr>
      <w:r w:rsidRPr="005F452D">
        <w:rPr>
          <w:rFonts w:asciiTheme="majorBidi" w:hAnsiTheme="majorBidi" w:cstheme="majorBidi"/>
          <w:sz w:val="24"/>
          <w:szCs w:val="24"/>
        </w:rPr>
        <w:t>Контроль высоты уступа и техники</w:t>
      </w:r>
    </w:p>
    <w:p w14:paraId="4E246484" w14:textId="77777777" w:rsidR="005F452D" w:rsidRDefault="007A2EE6" w:rsidP="007E6EE3">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Ограничение по высоте уступа (h): Высота уступа жестко привязана к максимальной высоте черпания применяемого экскаватора</w:t>
      </w:r>
      <w:r w:rsidR="005F452D">
        <w:rPr>
          <w:rFonts w:asciiTheme="majorBidi" w:hAnsiTheme="majorBidi" w:cstheme="majorBidi"/>
          <w:sz w:val="24"/>
          <w:szCs w:val="24"/>
        </w:rPr>
        <w:t xml:space="preserve"> </w:t>
      </w:r>
      <w:r w:rsidR="005F452D" w:rsidRPr="005F452D">
        <w:rPr>
          <w:rFonts w:asciiTheme="majorBidi" w:hAnsiTheme="majorBidi" w:cstheme="majorBidi"/>
          <w:sz w:val="24"/>
          <w:szCs w:val="24"/>
        </w:rPr>
        <w:t>(</w:t>
      </w:r>
      <w:proofErr w:type="spellStart"/>
      <w:r w:rsidR="005F452D" w:rsidRPr="005F452D">
        <w:rPr>
          <w:rFonts w:asciiTheme="majorBidi" w:hAnsiTheme="majorBidi" w:cstheme="majorBidi"/>
          <w:sz w:val="24"/>
          <w:szCs w:val="24"/>
        </w:rPr>
        <w:t>h</w:t>
      </w:r>
      <w:r w:rsidR="005F452D" w:rsidRPr="005F452D">
        <w:rPr>
          <w:rFonts w:asciiTheme="majorBidi" w:hAnsiTheme="majorBidi" w:cstheme="majorBidi"/>
          <w:sz w:val="24"/>
          <w:szCs w:val="24"/>
          <w:vertAlign w:val="subscript"/>
        </w:rPr>
        <w:t>ч</w:t>
      </w:r>
      <w:proofErr w:type="spellEnd"/>
      <w:r w:rsidR="005F452D" w:rsidRPr="005F452D">
        <w:rPr>
          <w:rFonts w:asciiTheme="majorBidi" w:hAnsiTheme="majorBidi" w:cstheme="majorBidi"/>
          <w:sz w:val="24"/>
          <w:szCs w:val="24"/>
        </w:rPr>
        <w:t>)</w:t>
      </w:r>
      <w:r w:rsidRPr="007A2EE6">
        <w:rPr>
          <w:rFonts w:asciiTheme="majorBidi" w:hAnsiTheme="majorBidi" w:cstheme="majorBidi"/>
          <w:sz w:val="24"/>
          <w:szCs w:val="24"/>
        </w:rPr>
        <w:t>. Превышение этого параметра приводит к образованию нависающих "козырьков" в забое. Доступ техники и людей в такой забой немедленно прекращается до опускания забоя до безопасной высоты.</w:t>
      </w:r>
      <w:r w:rsidR="005F452D">
        <w:rPr>
          <w:rFonts w:asciiTheme="majorBidi" w:hAnsiTheme="majorBidi" w:cstheme="majorBidi"/>
          <w:sz w:val="24"/>
          <w:szCs w:val="24"/>
        </w:rPr>
        <w:t xml:space="preserve"> </w:t>
      </w:r>
    </w:p>
    <w:p w14:paraId="318C94A8" w14:textId="557394E8" w:rsidR="007A2EE6"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 xml:space="preserve">Правило безопасности: </w:t>
      </w:r>
      <w:proofErr w:type="spellStart"/>
      <w:r w:rsidRPr="005F452D">
        <w:rPr>
          <w:rFonts w:asciiTheme="majorBidi" w:hAnsiTheme="majorBidi" w:cstheme="majorBidi"/>
          <w:sz w:val="24"/>
          <w:szCs w:val="24"/>
        </w:rPr>
        <w:t>h≤h</w:t>
      </w:r>
      <w:proofErr w:type="spellEnd"/>
      <w:r w:rsidRPr="005F452D">
        <w:rPr>
          <w:rFonts w:asciiTheme="majorBidi" w:hAnsiTheme="majorBidi" w:cstheme="majorBidi"/>
          <w:sz w:val="24"/>
          <w:szCs w:val="24"/>
          <w:vertAlign w:val="subscript"/>
        </w:rPr>
        <w:t xml:space="preserve"> ч</w:t>
      </w:r>
    </w:p>
    <w:p w14:paraId="0EC00CEA" w14:textId="77777777" w:rsidR="005F452D" w:rsidRPr="005F452D" w:rsidRDefault="005F452D" w:rsidP="007E6EE3">
      <w:pPr>
        <w:pStyle w:val="a9"/>
        <w:numPr>
          <w:ilvl w:val="0"/>
          <w:numId w:val="7"/>
        </w:numPr>
        <w:tabs>
          <w:tab w:val="left" w:pos="993"/>
        </w:tabs>
        <w:spacing w:after="0" w:line="276" w:lineRule="auto"/>
        <w:ind w:left="0" w:firstLine="709"/>
        <w:jc w:val="both"/>
        <w:rPr>
          <w:rFonts w:asciiTheme="majorBidi" w:hAnsiTheme="majorBidi" w:cstheme="majorBidi"/>
          <w:sz w:val="24"/>
          <w:szCs w:val="24"/>
        </w:rPr>
      </w:pPr>
      <w:r w:rsidRPr="005F452D">
        <w:rPr>
          <w:rFonts w:asciiTheme="majorBidi" w:hAnsiTheme="majorBidi" w:cstheme="majorBidi"/>
          <w:sz w:val="24"/>
          <w:szCs w:val="24"/>
        </w:rPr>
        <w:t>Контроль ширины рабочей площадки</w:t>
      </w:r>
    </w:p>
    <w:p w14:paraId="592E69ED" w14:textId="08C1D2C9" w:rsidR="007A2EE6" w:rsidRDefault="007A2EE6" w:rsidP="007E6EE3">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Ограничение по ширине рабочей площадки (Ш): Площадка должна обеспечивать радиус разворота большегрузного автосамосвала, безопасную стоянку экскаватора и проход людей. Сужение площадки ниже проектного минимума блокирует работу карьерного транспорта.</w:t>
      </w:r>
    </w:p>
    <w:p w14:paraId="5ED967E5" w14:textId="2A4CEB3D" w:rsid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Правило контроля: Фактическая ширина площадки, полученная при съемке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факт</w:t>
      </w:r>
      <w:proofErr w:type="spellEnd"/>
      <w:r w:rsidRPr="005F452D">
        <w:rPr>
          <w:rFonts w:asciiTheme="majorBidi" w:hAnsiTheme="majorBidi" w:cstheme="majorBidi"/>
          <w:sz w:val="24"/>
          <w:szCs w:val="24"/>
        </w:rPr>
        <w:t xml:space="preserve">), должна быть больше или равна проектной: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факт</w:t>
      </w:r>
      <w:proofErr w:type="spellEnd"/>
      <w:r w:rsidRPr="005F452D">
        <w:rPr>
          <w:rFonts w:asciiTheme="majorBidi" w:hAnsiTheme="majorBidi" w:cstheme="majorBidi"/>
          <w:sz w:val="24"/>
          <w:szCs w:val="24"/>
        </w:rPr>
        <w:t xml:space="preserve"> ≥</w:t>
      </w:r>
      <w:r>
        <w:rPr>
          <w:rFonts w:asciiTheme="majorBidi" w:hAnsiTheme="majorBidi" w:cstheme="majorBidi"/>
          <w:sz w:val="24"/>
          <w:szCs w:val="24"/>
        </w:rPr>
        <w:t xml:space="preserve">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проект</w:t>
      </w:r>
      <w:proofErr w:type="spellEnd"/>
      <w:r w:rsidRPr="005F452D">
        <w:rPr>
          <w:rFonts w:asciiTheme="majorBidi" w:hAnsiTheme="majorBidi" w:cstheme="majorBidi"/>
          <w:sz w:val="24"/>
          <w:szCs w:val="24"/>
        </w:rPr>
        <w:t xml:space="preserve">. Если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факт</w:t>
      </w:r>
      <w:proofErr w:type="spellEnd"/>
      <w:r w:rsidRPr="005F452D">
        <w:rPr>
          <w:rFonts w:asciiTheme="majorBidi" w:hAnsiTheme="majorBidi" w:cstheme="majorBidi"/>
          <w:sz w:val="24"/>
          <w:szCs w:val="24"/>
        </w:rPr>
        <w:t xml:space="preserve"> &lt;</w:t>
      </w:r>
      <w:r>
        <w:rPr>
          <w:rFonts w:asciiTheme="majorBidi" w:hAnsiTheme="majorBidi" w:cstheme="majorBidi"/>
          <w:sz w:val="24"/>
          <w:szCs w:val="24"/>
        </w:rPr>
        <w:t xml:space="preserve">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проект</w:t>
      </w:r>
      <w:proofErr w:type="spellEnd"/>
      <w:r w:rsidRPr="005F452D">
        <w:rPr>
          <w:rFonts w:asciiTheme="majorBidi" w:hAnsiTheme="majorBidi" w:cstheme="majorBidi"/>
          <w:sz w:val="24"/>
          <w:szCs w:val="24"/>
        </w:rPr>
        <w:t>, работа транспорта блокируется.</w:t>
      </w:r>
    </w:p>
    <w:p w14:paraId="08123829" w14:textId="622B88D5" w:rsidR="005F452D" w:rsidRPr="005F452D" w:rsidRDefault="005F452D" w:rsidP="007E6EE3">
      <w:pPr>
        <w:pStyle w:val="a9"/>
        <w:numPr>
          <w:ilvl w:val="0"/>
          <w:numId w:val="7"/>
        </w:numPr>
        <w:tabs>
          <w:tab w:val="left" w:pos="993"/>
        </w:tabs>
        <w:spacing w:after="0" w:line="276" w:lineRule="auto"/>
        <w:ind w:left="0" w:firstLine="709"/>
        <w:jc w:val="both"/>
        <w:rPr>
          <w:rFonts w:asciiTheme="majorBidi" w:hAnsiTheme="majorBidi" w:cstheme="majorBidi"/>
          <w:sz w:val="24"/>
          <w:szCs w:val="24"/>
        </w:rPr>
      </w:pPr>
      <w:r w:rsidRPr="005F452D">
        <w:rPr>
          <w:rFonts w:asciiTheme="majorBidi" w:hAnsiTheme="majorBidi" w:cstheme="majorBidi"/>
          <w:sz w:val="24"/>
          <w:szCs w:val="24"/>
        </w:rPr>
        <w:t>Контроль устойчивости борта и призма обрушения</w:t>
      </w:r>
    </w:p>
    <w:p w14:paraId="7B05C014" w14:textId="5192E42C" w:rsidR="005F452D" w:rsidRP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Угол откоса уступа (α) должен быть меньше угла естественного откоса породы в массиве (φ</w:t>
      </w:r>
      <w:proofErr w:type="gramStart"/>
      <w:r w:rsidRPr="005F452D">
        <w:rPr>
          <w:rFonts w:asciiTheme="majorBidi" w:hAnsiTheme="majorBidi" w:cstheme="majorBidi"/>
          <w:sz w:val="24"/>
          <w:szCs w:val="24"/>
        </w:rPr>
        <w:t>).Правило</w:t>
      </w:r>
      <w:proofErr w:type="gramEnd"/>
      <w:r w:rsidRPr="005F452D">
        <w:rPr>
          <w:rFonts w:asciiTheme="majorBidi" w:hAnsiTheme="majorBidi" w:cstheme="majorBidi"/>
          <w:sz w:val="24"/>
          <w:szCs w:val="24"/>
        </w:rPr>
        <w:t xml:space="preserve"> устойчивости: α</w:t>
      </w:r>
      <w:r>
        <w:rPr>
          <w:rFonts w:asciiTheme="majorBidi" w:hAnsiTheme="majorBidi" w:cstheme="majorBidi"/>
          <w:sz w:val="24"/>
          <w:szCs w:val="24"/>
        </w:rPr>
        <w:t xml:space="preserve"> </w:t>
      </w:r>
      <w:r w:rsidRPr="005F452D">
        <w:rPr>
          <w:rFonts w:asciiTheme="majorBidi" w:hAnsiTheme="majorBidi" w:cstheme="majorBidi"/>
          <w:sz w:val="24"/>
          <w:szCs w:val="24"/>
        </w:rPr>
        <w:t>≤</w:t>
      </w:r>
      <w:r>
        <w:rPr>
          <w:rFonts w:asciiTheme="majorBidi" w:hAnsiTheme="majorBidi" w:cstheme="majorBidi"/>
          <w:sz w:val="24"/>
          <w:szCs w:val="24"/>
        </w:rPr>
        <w:t xml:space="preserve"> </w:t>
      </w:r>
      <w:r w:rsidRPr="005F452D">
        <w:rPr>
          <w:rFonts w:asciiTheme="majorBidi" w:hAnsiTheme="majorBidi" w:cstheme="majorBidi"/>
          <w:sz w:val="24"/>
          <w:szCs w:val="24"/>
        </w:rPr>
        <w:t>φ.</w:t>
      </w:r>
    </w:p>
    <w:p w14:paraId="64B40422" w14:textId="77777777" w:rsid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Если это условие не выполняется, массив обрушается. За верхней бровкой уступа всегда формируется зона напряжений — призма обрушения. Это часть массива, склонная к вывалу и обрушению. Ведение горных работ на нижележащем уступе строго запрещено, если на вышестоящем уступе в пределах призмы обрушения находится техника.</w:t>
      </w:r>
    </w:p>
    <w:p w14:paraId="2194397A" w14:textId="77777777" w:rsidR="005F452D" w:rsidRP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Формула расчета ширины призмы обрушения:</w:t>
      </w:r>
    </w:p>
    <w:p w14:paraId="33E4322B" w14:textId="140CFD89" w:rsidR="005F452D" w:rsidRP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Для определения безопасной зоны маркшейдер рассчитывает ширину призмы обрушения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пр</w:t>
      </w:r>
      <w:proofErr w:type="spellEnd"/>
      <w:r w:rsidRPr="005F452D">
        <w:rPr>
          <w:rFonts w:asciiTheme="majorBidi" w:hAnsiTheme="majorBidi" w:cstheme="majorBidi"/>
          <w:sz w:val="24"/>
          <w:szCs w:val="24"/>
        </w:rPr>
        <w:t>) на верхней площадке уступа. Она зависит от высоты уступа (h) и угла естественного откоса пород (φ):</w:t>
      </w:r>
      <w:r>
        <w:rPr>
          <w:rFonts w:asciiTheme="majorBidi" w:hAnsiTheme="majorBidi" w:cstheme="majorBidi"/>
          <w:sz w:val="24"/>
          <w:szCs w:val="24"/>
        </w:rPr>
        <w:t xml:space="preserve">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пр</w:t>
      </w:r>
      <w:proofErr w:type="spellEnd"/>
      <w:r w:rsidRPr="005F452D">
        <w:rPr>
          <w:rFonts w:asciiTheme="majorBidi" w:hAnsiTheme="majorBidi" w:cstheme="majorBidi"/>
          <w:sz w:val="24"/>
          <w:szCs w:val="24"/>
        </w:rPr>
        <w:t xml:space="preserve"> =</w:t>
      </w:r>
      <w:r>
        <w:rPr>
          <w:rFonts w:asciiTheme="majorBidi" w:hAnsiTheme="majorBidi" w:cstheme="majorBidi"/>
          <w:sz w:val="24"/>
          <w:szCs w:val="24"/>
        </w:rPr>
        <w:t xml:space="preserve"> </w:t>
      </w:r>
      <w:proofErr w:type="spellStart"/>
      <w:r w:rsidRPr="005F452D">
        <w:rPr>
          <w:rFonts w:asciiTheme="majorBidi" w:hAnsiTheme="majorBidi" w:cstheme="majorBidi"/>
          <w:sz w:val="24"/>
          <w:szCs w:val="24"/>
        </w:rPr>
        <w:t>h</w:t>
      </w:r>
      <w:r w:rsidRPr="005F452D">
        <w:rPr>
          <w:rFonts w:ascii="Cambria Math" w:hAnsi="Cambria Math" w:cs="Cambria Math"/>
          <w:sz w:val="24"/>
          <w:szCs w:val="24"/>
        </w:rPr>
        <w:t>⋅</w:t>
      </w:r>
      <w:r w:rsidRPr="005F452D">
        <w:rPr>
          <w:rFonts w:asciiTheme="majorBidi" w:hAnsiTheme="majorBidi" w:cstheme="majorBidi"/>
          <w:sz w:val="24"/>
          <w:szCs w:val="24"/>
        </w:rPr>
        <w:t>ctg</w:t>
      </w:r>
      <w:proofErr w:type="spellEnd"/>
      <w:r w:rsidRPr="005F452D">
        <w:rPr>
          <w:rFonts w:asciiTheme="majorBidi" w:hAnsiTheme="majorBidi" w:cstheme="majorBidi"/>
          <w:sz w:val="24"/>
          <w:szCs w:val="24"/>
        </w:rPr>
        <w:t>(</w:t>
      </w:r>
      <w:r w:rsidRPr="005F452D">
        <w:rPr>
          <w:rFonts w:ascii="Times New Roman" w:hAnsi="Times New Roman" w:cs="Times New Roman"/>
          <w:sz w:val="24"/>
          <w:szCs w:val="24"/>
        </w:rPr>
        <w:t>φ</w:t>
      </w:r>
      <w:r w:rsidRPr="005F452D">
        <w:rPr>
          <w:rFonts w:asciiTheme="majorBidi" w:hAnsiTheme="majorBidi" w:cstheme="majorBidi"/>
          <w:sz w:val="24"/>
          <w:szCs w:val="24"/>
        </w:rPr>
        <w:t>)</w:t>
      </w:r>
    </w:p>
    <w:p w14:paraId="58F21822" w14:textId="77777777" w:rsid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Где:</w:t>
      </w:r>
      <w:r>
        <w:rPr>
          <w:rFonts w:asciiTheme="majorBidi" w:hAnsiTheme="majorBidi" w:cstheme="majorBidi"/>
          <w:sz w:val="24"/>
          <w:szCs w:val="24"/>
        </w:rPr>
        <w:t xml:space="preserve"> </w:t>
      </w:r>
      <w:proofErr w:type="spellStart"/>
      <w:r w:rsidRPr="005F452D">
        <w:rPr>
          <w:rFonts w:asciiTheme="majorBidi" w:hAnsiTheme="majorBidi" w:cstheme="majorBidi"/>
          <w:sz w:val="24"/>
          <w:szCs w:val="24"/>
        </w:rPr>
        <w:t>Ш</w:t>
      </w:r>
      <w:r w:rsidRPr="005F452D">
        <w:rPr>
          <w:rFonts w:asciiTheme="majorBidi" w:hAnsiTheme="majorBidi" w:cstheme="majorBidi"/>
          <w:sz w:val="24"/>
          <w:szCs w:val="24"/>
          <w:vertAlign w:val="subscript"/>
        </w:rPr>
        <w:t>пр</w:t>
      </w:r>
      <w:proofErr w:type="spellEnd"/>
      <w:r w:rsidRPr="005F452D">
        <w:rPr>
          <w:rFonts w:asciiTheme="majorBidi" w:hAnsiTheme="majorBidi" w:cstheme="majorBidi"/>
          <w:sz w:val="24"/>
          <w:szCs w:val="24"/>
        </w:rPr>
        <w:t xml:space="preserve"> — ширина призмы обрушения (безопасная зона от верхней бровки вглубь массива).</w:t>
      </w:r>
      <w:r>
        <w:rPr>
          <w:rFonts w:asciiTheme="majorBidi" w:hAnsiTheme="majorBidi" w:cstheme="majorBidi"/>
          <w:sz w:val="24"/>
          <w:szCs w:val="24"/>
        </w:rPr>
        <w:t xml:space="preserve"> </w:t>
      </w:r>
    </w:p>
    <w:p w14:paraId="1AF9F9F8" w14:textId="5A94C6D0" w:rsidR="005F452D" w:rsidRP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h — высота уступа (в метрах).</w:t>
      </w:r>
    </w:p>
    <w:p w14:paraId="682CB9EC" w14:textId="3F76017D" w:rsidR="005F452D" w:rsidRP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t>φ — угол естественного откоса пород в массиве (в градусах).</w:t>
      </w:r>
    </w:p>
    <w:p w14:paraId="16E5701A" w14:textId="77777777" w:rsidR="005F452D" w:rsidRPr="005F452D" w:rsidRDefault="005F452D" w:rsidP="007E6EE3">
      <w:pPr>
        <w:spacing w:after="0" w:line="276" w:lineRule="auto"/>
        <w:ind w:firstLine="709"/>
        <w:jc w:val="both"/>
        <w:rPr>
          <w:rFonts w:asciiTheme="majorBidi" w:hAnsiTheme="majorBidi" w:cstheme="majorBidi"/>
          <w:sz w:val="24"/>
          <w:szCs w:val="24"/>
        </w:rPr>
      </w:pPr>
      <w:r w:rsidRPr="005F452D">
        <w:rPr>
          <w:rFonts w:asciiTheme="majorBidi" w:hAnsiTheme="majorBidi" w:cstheme="majorBidi"/>
          <w:sz w:val="24"/>
          <w:szCs w:val="24"/>
        </w:rPr>
        <w:lastRenderedPageBreak/>
        <w:t>Пример расчета</w:t>
      </w:r>
      <w:proofErr w:type="gramStart"/>
      <w:r w:rsidRPr="005F452D">
        <w:rPr>
          <w:rFonts w:asciiTheme="majorBidi" w:hAnsiTheme="majorBidi" w:cstheme="majorBidi"/>
          <w:sz w:val="24"/>
          <w:szCs w:val="24"/>
        </w:rPr>
        <w:t>: Если</w:t>
      </w:r>
      <w:proofErr w:type="gramEnd"/>
      <w:r w:rsidRPr="005F452D">
        <w:rPr>
          <w:rFonts w:asciiTheme="majorBidi" w:hAnsiTheme="majorBidi" w:cstheme="majorBidi"/>
          <w:sz w:val="24"/>
          <w:szCs w:val="24"/>
        </w:rPr>
        <w:t xml:space="preserve"> высота уступа 10 метров, а угол откоса пород 65°, то </w:t>
      </w:r>
    </w:p>
    <w:p w14:paraId="5776E1E7" w14:textId="11727570" w:rsidR="005F452D" w:rsidRPr="007E6EE3" w:rsidRDefault="005F452D" w:rsidP="007E6EE3">
      <w:pPr>
        <w:spacing w:after="0" w:line="276" w:lineRule="auto"/>
        <w:ind w:firstLine="709"/>
        <w:jc w:val="both"/>
        <w:rPr>
          <w:rFonts w:asciiTheme="majorBidi" w:hAnsiTheme="majorBidi" w:cstheme="majorBidi"/>
          <w:sz w:val="24"/>
          <w:szCs w:val="24"/>
          <w:vertAlign w:val="superscript"/>
        </w:rPr>
      </w:pPr>
      <w:proofErr w:type="spellStart"/>
      <w:r w:rsidRPr="005F452D">
        <w:rPr>
          <w:rFonts w:asciiTheme="majorBidi" w:hAnsiTheme="majorBidi" w:cstheme="majorBidi"/>
          <w:sz w:val="24"/>
          <w:szCs w:val="24"/>
        </w:rPr>
        <w:t>Шпр</w:t>
      </w:r>
      <w:proofErr w:type="spellEnd"/>
      <w:r w:rsidRPr="005F452D">
        <w:rPr>
          <w:rFonts w:asciiTheme="majorBidi" w:hAnsiTheme="majorBidi" w:cstheme="majorBidi"/>
          <w:sz w:val="24"/>
          <w:szCs w:val="24"/>
        </w:rPr>
        <w:t xml:space="preserve"> =</w:t>
      </w:r>
      <w:r w:rsidR="007E6EE3">
        <w:rPr>
          <w:rFonts w:asciiTheme="majorBidi" w:hAnsiTheme="majorBidi" w:cstheme="majorBidi"/>
          <w:sz w:val="24"/>
          <w:szCs w:val="24"/>
        </w:rPr>
        <w:t xml:space="preserve"> </w:t>
      </w:r>
      <w:r w:rsidRPr="005F452D">
        <w:rPr>
          <w:rFonts w:asciiTheme="majorBidi" w:hAnsiTheme="majorBidi" w:cstheme="majorBidi"/>
          <w:sz w:val="24"/>
          <w:szCs w:val="24"/>
        </w:rPr>
        <w:t>10</w:t>
      </w:r>
      <w:r w:rsidRPr="005F452D">
        <w:rPr>
          <w:rFonts w:ascii="Cambria Math" w:hAnsi="Cambria Math" w:cs="Cambria Math"/>
          <w:sz w:val="24"/>
          <w:szCs w:val="24"/>
        </w:rPr>
        <w:t>⋅</w:t>
      </w:r>
      <w:r w:rsidRPr="005F452D">
        <w:rPr>
          <w:rFonts w:asciiTheme="majorBidi" w:hAnsiTheme="majorBidi" w:cstheme="majorBidi"/>
          <w:sz w:val="24"/>
          <w:szCs w:val="24"/>
        </w:rPr>
        <w:t>ctg(65</w:t>
      </w:r>
      <w:r w:rsidRPr="007E6EE3">
        <w:rPr>
          <w:rFonts w:ascii="Cambria Math" w:hAnsi="Cambria Math" w:cs="Cambria Math"/>
          <w:sz w:val="24"/>
          <w:szCs w:val="24"/>
          <w:vertAlign w:val="superscript"/>
        </w:rPr>
        <w:t>∘</w:t>
      </w:r>
      <w:r w:rsidRPr="005F452D">
        <w:rPr>
          <w:rFonts w:asciiTheme="majorBidi" w:hAnsiTheme="majorBidi" w:cstheme="majorBidi"/>
          <w:sz w:val="24"/>
          <w:szCs w:val="24"/>
        </w:rPr>
        <w:t>)=10</w:t>
      </w:r>
      <w:r w:rsidRPr="005F452D">
        <w:rPr>
          <w:rFonts w:ascii="Cambria Math" w:hAnsi="Cambria Math" w:cs="Cambria Math"/>
          <w:sz w:val="24"/>
          <w:szCs w:val="24"/>
        </w:rPr>
        <w:t>⋅</w:t>
      </w:r>
      <w:r w:rsidRPr="005F452D">
        <w:rPr>
          <w:rFonts w:asciiTheme="majorBidi" w:hAnsiTheme="majorBidi" w:cstheme="majorBidi"/>
          <w:sz w:val="24"/>
          <w:szCs w:val="24"/>
        </w:rPr>
        <w:t>0,47=4,7 метра. То есть техника не должна подходить к верхней бровке ближе, чем на 4,7 метра.</w:t>
      </w:r>
    </w:p>
    <w:p w14:paraId="46E17827" w14:textId="342AB023" w:rsidR="007A2EE6" w:rsidRPr="007E6EE3" w:rsidRDefault="007A2EE6" w:rsidP="007E6EE3">
      <w:pPr>
        <w:pStyle w:val="a9"/>
        <w:numPr>
          <w:ilvl w:val="0"/>
          <w:numId w:val="7"/>
        </w:numPr>
        <w:tabs>
          <w:tab w:val="left" w:pos="993"/>
          <w:tab w:val="left" w:pos="1134"/>
        </w:tabs>
        <w:spacing w:line="276" w:lineRule="auto"/>
        <w:ind w:left="0" w:firstLine="709"/>
        <w:jc w:val="both"/>
        <w:rPr>
          <w:rFonts w:asciiTheme="majorBidi" w:hAnsiTheme="majorBidi" w:cstheme="majorBidi"/>
          <w:sz w:val="24"/>
          <w:szCs w:val="24"/>
        </w:rPr>
      </w:pPr>
      <w:r w:rsidRPr="007E6EE3">
        <w:rPr>
          <w:rFonts w:asciiTheme="majorBidi" w:hAnsiTheme="majorBidi" w:cstheme="majorBidi"/>
          <w:sz w:val="24"/>
          <w:szCs w:val="24"/>
        </w:rPr>
        <w:t>Продольный уклон съезда (i): Проектный уклон рассчитывается под тягово-динамические характеристики самосвалов. Превышение уклона вызывает перегрев тормозов на спуске или пробуксовку на подъеме.</w:t>
      </w:r>
    </w:p>
    <w:p w14:paraId="5A5525BE" w14:textId="77777777" w:rsidR="007A2EE6" w:rsidRPr="007A2EE6" w:rsidRDefault="007A2EE6" w:rsidP="007A2EE6">
      <w:pPr>
        <w:spacing w:after="0" w:line="276" w:lineRule="auto"/>
        <w:jc w:val="both"/>
        <w:rPr>
          <w:rFonts w:asciiTheme="majorBidi" w:hAnsiTheme="majorBidi" w:cstheme="majorBidi"/>
          <w:b/>
          <w:bCs/>
          <w:sz w:val="24"/>
          <w:szCs w:val="24"/>
        </w:rPr>
      </w:pPr>
      <w:r w:rsidRPr="007A2EE6">
        <w:rPr>
          <w:rFonts w:asciiTheme="majorBidi" w:hAnsiTheme="majorBidi" w:cstheme="majorBidi"/>
          <w:b/>
          <w:bCs/>
          <w:sz w:val="24"/>
          <w:szCs w:val="24"/>
        </w:rPr>
        <w:t>3. Отображение параметров в маркшейдерской документации и контроль предельных контуров</w:t>
      </w:r>
    </w:p>
    <w:p w14:paraId="021169BC" w14:textId="62D066B7"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Специфика элементов карьера диктует правила оформления маркшейдерских планов (обычно в масштабах 1:1000 или 1:2000):</w:t>
      </w:r>
    </w:p>
    <w:p w14:paraId="7111F9AE" w14:textId="70015BCF"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Графические условные обозначения</w:t>
      </w:r>
    </w:p>
    <w:p w14:paraId="59A484BE" w14:textId="77777777"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Бровки: Верхние бровки отрабатываемых уступов рисуются сплошной утолщенной линией, нижние — пунктирной. Это позволяет на плане визуально отличать отрабатываемый уступ от выработанного пространства.</w:t>
      </w:r>
    </w:p>
    <w:p w14:paraId="17855999" w14:textId="77777777"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Бермы безопасности</w:t>
      </w:r>
      <w:proofErr w:type="gramStart"/>
      <w:r w:rsidRPr="007A2EE6">
        <w:rPr>
          <w:rFonts w:asciiTheme="majorBidi" w:hAnsiTheme="majorBidi" w:cstheme="majorBidi"/>
          <w:sz w:val="24"/>
          <w:szCs w:val="24"/>
        </w:rPr>
        <w:t>: Выделяются</w:t>
      </w:r>
      <w:proofErr w:type="gramEnd"/>
      <w:r w:rsidRPr="007A2EE6">
        <w:rPr>
          <w:rFonts w:asciiTheme="majorBidi" w:hAnsiTheme="majorBidi" w:cstheme="majorBidi"/>
          <w:sz w:val="24"/>
          <w:szCs w:val="24"/>
        </w:rPr>
        <w:t xml:space="preserve"> на плане штриховкой или специальным условным знаком. Это визуальный сигнал для горного мастера о границе, за которую не может выезжать техника.</w:t>
      </w:r>
    </w:p>
    <w:p w14:paraId="71CAFD9F" w14:textId="77777777"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Опасные зоны: Границы призмы обрушения наносятся на планы красным цветом. Нахождение техники в этой зоне недопустимо.</w:t>
      </w:r>
    </w:p>
    <w:p w14:paraId="1370C210" w14:textId="2647C758"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Контроль предельных контуров</w:t>
      </w:r>
    </w:p>
    <w:p w14:paraId="6EDB463E" w14:textId="621ACE02"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На маркшейдерских планах всегда присутствуют линии проектного (предельного) контура карьера. При ежемесячном пополнении плана маркшейдер накладывает фактические бровки на проектные. Если рабочая площадка "залезла" за проектный контур (нарушена ширина бермы безопасности), маркшейдер фиксирует нарушение.</w:t>
      </w:r>
    </w:p>
    <w:p w14:paraId="6D229C1A" w14:textId="1BAFFE73"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Профильные разрезы</w:t>
      </w:r>
    </w:p>
    <w:p w14:paraId="5D2E4B6B" w14:textId="63CB7AB8" w:rsid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Поскольку на горизонтальном плане нельзя увидеть крутизну откоса, маркшейдерская документация включает разрезы по профильным линиям, строящиеся вкрест простирания бортов карьера. Именно на разрезах проверяется угол откоса уступа и общая устойчивость борта карьера.</w:t>
      </w:r>
    </w:p>
    <w:p w14:paraId="6A33AF40" w14:textId="77777777"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Книга указаний и уведомлений</w:t>
      </w:r>
    </w:p>
    <w:p w14:paraId="37C8FD0C" w14:textId="77777777" w:rsidR="007E6EE3" w:rsidRDefault="007E6EE3" w:rsidP="007E6EE3">
      <w:pPr>
        <w:spacing w:after="0" w:line="276" w:lineRule="auto"/>
        <w:ind w:firstLine="709"/>
        <w:jc w:val="both"/>
        <w:rPr>
          <w:rFonts w:asciiTheme="majorBidi" w:hAnsiTheme="majorBidi" w:cstheme="majorBidi"/>
          <w:sz w:val="24"/>
          <w:szCs w:val="24"/>
        </w:rPr>
      </w:pPr>
      <w:r w:rsidRPr="007E6EE3">
        <w:rPr>
          <w:rFonts w:asciiTheme="majorBidi" w:hAnsiTheme="majorBidi" w:cstheme="majorBidi"/>
          <w:sz w:val="24"/>
          <w:szCs w:val="24"/>
        </w:rPr>
        <w:t>Если маркшейдер выявляет отклонение параметров от проекта (например, Ш факт &lt;</w:t>
      </w:r>
      <w:r>
        <w:rPr>
          <w:rFonts w:asciiTheme="majorBidi" w:hAnsiTheme="majorBidi" w:cstheme="majorBidi"/>
          <w:sz w:val="24"/>
          <w:szCs w:val="24"/>
        </w:rPr>
        <w:t xml:space="preserve"> </w:t>
      </w:r>
      <w:proofErr w:type="spellStart"/>
      <w:r w:rsidRPr="007E6EE3">
        <w:rPr>
          <w:rFonts w:asciiTheme="majorBidi" w:hAnsiTheme="majorBidi" w:cstheme="majorBidi"/>
          <w:sz w:val="24"/>
          <w:szCs w:val="24"/>
        </w:rPr>
        <w:t>Ш</w:t>
      </w:r>
      <w:r w:rsidRPr="007E6EE3">
        <w:rPr>
          <w:rFonts w:asciiTheme="majorBidi" w:hAnsiTheme="majorBidi" w:cstheme="majorBidi"/>
          <w:sz w:val="24"/>
          <w:szCs w:val="24"/>
          <w:vertAlign w:val="subscript"/>
        </w:rPr>
        <w:t>проект</w:t>
      </w:r>
      <w:proofErr w:type="spellEnd"/>
      <w:r w:rsidRPr="007E6EE3">
        <w:rPr>
          <w:rFonts w:asciiTheme="majorBidi" w:hAnsiTheme="majorBidi" w:cstheme="majorBidi"/>
          <w:sz w:val="24"/>
          <w:szCs w:val="24"/>
        </w:rPr>
        <w:t xml:space="preserve"> или α</w:t>
      </w:r>
      <w:r>
        <w:rPr>
          <w:rFonts w:asciiTheme="majorBidi" w:hAnsiTheme="majorBidi" w:cstheme="majorBidi"/>
          <w:sz w:val="24"/>
          <w:szCs w:val="24"/>
        </w:rPr>
        <w:t xml:space="preserve"> </w:t>
      </w:r>
      <w:r w:rsidRPr="007E6EE3">
        <w:rPr>
          <w:rFonts w:asciiTheme="majorBidi" w:hAnsiTheme="majorBidi" w:cstheme="majorBidi"/>
          <w:sz w:val="24"/>
          <w:szCs w:val="24"/>
        </w:rPr>
        <w:t>&gt;</w:t>
      </w:r>
      <w:r>
        <w:rPr>
          <w:rFonts w:asciiTheme="majorBidi" w:hAnsiTheme="majorBidi" w:cstheme="majorBidi"/>
          <w:sz w:val="24"/>
          <w:szCs w:val="24"/>
        </w:rPr>
        <w:t xml:space="preserve"> </w:t>
      </w:r>
      <w:r w:rsidRPr="007E6EE3">
        <w:rPr>
          <w:rFonts w:asciiTheme="majorBidi" w:hAnsiTheme="majorBidi" w:cstheme="majorBidi"/>
          <w:sz w:val="24"/>
          <w:szCs w:val="24"/>
        </w:rPr>
        <w:t>φ), он заносит нарушение в Книгу указаний и уведомлений маркшейдерской службы. В книге указывается, какой параметр нарушен, и выписывается срок на его исправление. Работы на нарушенном участке приостанавливаются.</w:t>
      </w:r>
    </w:p>
    <w:p w14:paraId="189AF90E" w14:textId="5428AEDB" w:rsidR="007A2EE6" w:rsidRPr="007E6EE3" w:rsidRDefault="007A2EE6" w:rsidP="007E6EE3">
      <w:pPr>
        <w:spacing w:after="0" w:line="276" w:lineRule="auto"/>
        <w:ind w:firstLine="709"/>
        <w:jc w:val="both"/>
        <w:rPr>
          <w:rFonts w:asciiTheme="majorBidi" w:hAnsiTheme="majorBidi" w:cstheme="majorBidi"/>
          <w:b/>
          <w:bCs/>
          <w:sz w:val="24"/>
          <w:szCs w:val="24"/>
        </w:rPr>
      </w:pPr>
      <w:r w:rsidRPr="007E6EE3">
        <w:rPr>
          <w:rFonts w:asciiTheme="majorBidi" w:hAnsiTheme="majorBidi" w:cstheme="majorBidi"/>
          <w:b/>
          <w:bCs/>
          <w:sz w:val="24"/>
          <w:szCs w:val="24"/>
        </w:rPr>
        <w:t>4. Практическая задача: Контроль безопасности рабочих площадок</w:t>
      </w:r>
    </w:p>
    <w:p w14:paraId="0C515786" w14:textId="77777777" w:rsidR="007A2EE6" w:rsidRPr="007A2EE6" w:rsidRDefault="007A2EE6" w:rsidP="007A2EE6">
      <w:pPr>
        <w:spacing w:after="0" w:line="276" w:lineRule="auto"/>
        <w:ind w:firstLine="709"/>
        <w:rPr>
          <w:rFonts w:asciiTheme="majorBidi" w:hAnsiTheme="majorBidi" w:cstheme="majorBidi"/>
          <w:sz w:val="24"/>
          <w:szCs w:val="24"/>
        </w:rPr>
      </w:pPr>
      <w:r w:rsidRPr="007A2EE6">
        <w:rPr>
          <w:rFonts w:asciiTheme="majorBidi" w:hAnsiTheme="majorBidi" w:cstheme="majorBidi"/>
          <w:sz w:val="24"/>
          <w:szCs w:val="24"/>
        </w:rPr>
        <w:t>Условие задачи:</w:t>
      </w:r>
    </w:p>
    <w:p w14:paraId="0DC932D5" w14:textId="4DBAA432" w:rsidR="007A2EE6" w:rsidRPr="007A2EE6" w:rsidRDefault="007A2EE6" w:rsidP="007A2EE6">
      <w:pPr>
        <w:spacing w:after="0" w:line="276" w:lineRule="auto"/>
        <w:ind w:firstLine="709"/>
        <w:rPr>
          <w:rFonts w:asciiTheme="majorBidi" w:hAnsiTheme="majorBidi" w:cstheme="majorBidi"/>
          <w:sz w:val="24"/>
          <w:szCs w:val="24"/>
        </w:rPr>
      </w:pPr>
      <w:proofErr w:type="gramStart"/>
      <w:r w:rsidRPr="007A2EE6">
        <w:rPr>
          <w:rFonts w:asciiTheme="majorBidi" w:hAnsiTheme="majorBidi" w:cstheme="majorBidi"/>
          <w:sz w:val="24"/>
          <w:szCs w:val="24"/>
        </w:rPr>
        <w:t>Вы — главный маркшейдер</w:t>
      </w:r>
      <w:proofErr w:type="gramEnd"/>
      <w:r w:rsidRPr="007A2EE6">
        <w:rPr>
          <w:rFonts w:asciiTheme="majorBidi" w:hAnsiTheme="majorBidi" w:cstheme="majorBidi"/>
          <w:sz w:val="24"/>
          <w:szCs w:val="24"/>
        </w:rPr>
        <w:t xml:space="preserve"> карьера. Экскаватор отрабатывает уступ высотой h=12</w:t>
      </w:r>
      <w:r>
        <w:rPr>
          <w:rFonts w:asciiTheme="majorBidi" w:hAnsiTheme="majorBidi" w:cstheme="majorBidi"/>
          <w:sz w:val="24"/>
          <w:szCs w:val="24"/>
        </w:rPr>
        <w:t xml:space="preserve"> </w:t>
      </w:r>
      <w:r w:rsidRPr="007A2EE6">
        <w:rPr>
          <w:rFonts w:asciiTheme="majorBidi" w:hAnsiTheme="majorBidi" w:cstheme="majorBidi"/>
          <w:sz w:val="24"/>
          <w:szCs w:val="24"/>
        </w:rPr>
        <w:t>м. По проекту угол откоса данного уступа должен составлять α=60</w:t>
      </w:r>
      <w:r w:rsidRPr="007A2EE6">
        <w:rPr>
          <w:rFonts w:ascii="Cambria Math" w:hAnsi="Cambria Math" w:cs="Cambria Math"/>
          <w:sz w:val="24"/>
          <w:szCs w:val="24"/>
          <w:vertAlign w:val="superscript"/>
        </w:rPr>
        <w:t>∘</w:t>
      </w:r>
      <w:r w:rsidRPr="007A2EE6">
        <w:rPr>
          <w:rFonts w:asciiTheme="majorBidi" w:hAnsiTheme="majorBidi" w:cstheme="majorBidi"/>
          <w:sz w:val="24"/>
          <w:szCs w:val="24"/>
        </w:rPr>
        <w:t xml:space="preserve">, а ширина рабочей площадки должна быть не менее </w:t>
      </w:r>
      <w:proofErr w:type="spellStart"/>
      <w:r w:rsidRPr="007A2EE6">
        <w:rPr>
          <w:rFonts w:asciiTheme="majorBidi" w:hAnsiTheme="majorBidi" w:cstheme="majorBidi"/>
          <w:sz w:val="24"/>
          <w:szCs w:val="24"/>
        </w:rPr>
        <w:t>Ш</w:t>
      </w:r>
      <w:r w:rsidRPr="007A2EE6">
        <w:rPr>
          <w:rFonts w:asciiTheme="majorBidi" w:hAnsiTheme="majorBidi" w:cstheme="majorBidi"/>
          <w:sz w:val="24"/>
          <w:szCs w:val="24"/>
          <w:vertAlign w:val="subscript"/>
        </w:rPr>
        <w:t>проект</w:t>
      </w:r>
      <w:proofErr w:type="spellEnd"/>
      <w:r>
        <w:rPr>
          <w:rFonts w:asciiTheme="majorBidi" w:hAnsiTheme="majorBidi" w:cstheme="majorBidi"/>
          <w:sz w:val="24"/>
          <w:szCs w:val="24"/>
        </w:rPr>
        <w:t xml:space="preserve"> </w:t>
      </w:r>
      <w:r w:rsidRPr="007A2EE6">
        <w:rPr>
          <w:rFonts w:asciiTheme="majorBidi" w:hAnsiTheme="majorBidi" w:cstheme="majorBidi"/>
          <w:sz w:val="24"/>
          <w:szCs w:val="24"/>
        </w:rPr>
        <w:t xml:space="preserve"> =25 м (для разворота самосвалов).</w:t>
      </w:r>
      <w:r>
        <w:rPr>
          <w:rFonts w:asciiTheme="majorBidi" w:hAnsiTheme="majorBidi" w:cstheme="majorBidi"/>
          <w:sz w:val="24"/>
          <w:szCs w:val="24"/>
        </w:rPr>
        <w:t xml:space="preserve"> </w:t>
      </w:r>
      <w:r w:rsidRPr="007A2EE6">
        <w:rPr>
          <w:rFonts w:asciiTheme="majorBidi" w:hAnsiTheme="majorBidi" w:cstheme="majorBidi"/>
          <w:sz w:val="24"/>
          <w:szCs w:val="24"/>
        </w:rPr>
        <w:t>Угол естественного откоса пород в массиве составляет φ=70</w:t>
      </w:r>
      <w:r w:rsidRPr="007A2EE6">
        <w:rPr>
          <w:rFonts w:ascii="Cambria Math" w:hAnsi="Cambria Math" w:cs="Cambria Math"/>
          <w:sz w:val="24"/>
          <w:szCs w:val="24"/>
          <w:vertAlign w:val="superscript"/>
        </w:rPr>
        <w:t>∘</w:t>
      </w:r>
      <w:r w:rsidRPr="007A2EE6">
        <w:rPr>
          <w:rFonts w:asciiTheme="majorBidi" w:hAnsiTheme="majorBidi" w:cstheme="majorBidi"/>
          <w:sz w:val="24"/>
          <w:szCs w:val="24"/>
        </w:rPr>
        <w:t>.</w:t>
      </w:r>
    </w:p>
    <w:p w14:paraId="6879FED2" w14:textId="4204F1B8" w:rsidR="007A2EE6" w:rsidRPr="007A2EE6" w:rsidRDefault="007A2EE6" w:rsidP="007A2EE6">
      <w:pPr>
        <w:spacing w:after="0" w:line="276" w:lineRule="auto"/>
        <w:ind w:firstLine="709"/>
        <w:rPr>
          <w:rFonts w:asciiTheme="majorBidi" w:hAnsiTheme="majorBidi" w:cstheme="majorBidi"/>
          <w:sz w:val="24"/>
          <w:szCs w:val="24"/>
        </w:rPr>
      </w:pPr>
      <w:r w:rsidRPr="007A2EE6">
        <w:rPr>
          <w:rFonts w:asciiTheme="majorBidi" w:hAnsiTheme="majorBidi" w:cstheme="majorBidi"/>
          <w:sz w:val="24"/>
          <w:szCs w:val="24"/>
        </w:rPr>
        <w:t xml:space="preserve">По результатам последней маркшейдерской съемки установлено, что фактическая ширина рабочей площадки составила </w:t>
      </w:r>
      <w:proofErr w:type="spellStart"/>
      <w:r w:rsidRPr="007A2EE6">
        <w:rPr>
          <w:rFonts w:asciiTheme="majorBidi" w:hAnsiTheme="majorBidi" w:cstheme="majorBidi"/>
          <w:sz w:val="24"/>
          <w:szCs w:val="24"/>
        </w:rPr>
        <w:t>Ш</w:t>
      </w:r>
      <w:r w:rsidRPr="007A2EE6">
        <w:rPr>
          <w:rFonts w:asciiTheme="majorBidi" w:hAnsiTheme="majorBidi" w:cstheme="majorBidi"/>
          <w:sz w:val="24"/>
          <w:szCs w:val="24"/>
          <w:vertAlign w:val="subscript"/>
        </w:rPr>
        <w:t>факт</w:t>
      </w:r>
      <w:proofErr w:type="spellEnd"/>
      <w:r w:rsidRPr="007A2EE6">
        <w:rPr>
          <w:rFonts w:asciiTheme="majorBidi" w:hAnsiTheme="majorBidi" w:cstheme="majorBidi"/>
          <w:sz w:val="24"/>
          <w:szCs w:val="24"/>
        </w:rPr>
        <w:t xml:space="preserve"> =18 м из-за подрезки нижней бровки экскаватором.</w:t>
      </w:r>
    </w:p>
    <w:p w14:paraId="291BD65C" w14:textId="52BA0525" w:rsidR="007A2EE6" w:rsidRPr="007A2EE6" w:rsidRDefault="007A2EE6" w:rsidP="007A2EE6">
      <w:pPr>
        <w:spacing w:after="0" w:line="276" w:lineRule="auto"/>
        <w:ind w:firstLine="709"/>
        <w:rPr>
          <w:rFonts w:asciiTheme="majorBidi" w:hAnsiTheme="majorBidi" w:cstheme="majorBidi"/>
          <w:sz w:val="24"/>
          <w:szCs w:val="24"/>
        </w:rPr>
      </w:pPr>
      <w:r w:rsidRPr="007A2EE6">
        <w:rPr>
          <w:rFonts w:asciiTheme="majorBidi" w:hAnsiTheme="majorBidi" w:cstheme="majorBidi"/>
          <w:sz w:val="24"/>
          <w:szCs w:val="24"/>
        </w:rPr>
        <w:t>Задание:</w:t>
      </w:r>
    </w:p>
    <w:p w14:paraId="37BC963D" w14:textId="1068DF89" w:rsidR="007A2EE6" w:rsidRPr="007A2EE6" w:rsidRDefault="007A2EE6" w:rsidP="007A2EE6">
      <w:pPr>
        <w:spacing w:after="0" w:line="276" w:lineRule="auto"/>
        <w:ind w:firstLine="709"/>
        <w:rPr>
          <w:rFonts w:asciiTheme="majorBidi" w:hAnsiTheme="majorBidi" w:cstheme="majorBidi"/>
          <w:sz w:val="24"/>
          <w:szCs w:val="24"/>
        </w:rPr>
      </w:pPr>
      <w:r w:rsidRPr="007A2EE6">
        <w:rPr>
          <w:rFonts w:asciiTheme="majorBidi" w:hAnsiTheme="majorBidi" w:cstheme="majorBidi"/>
          <w:sz w:val="24"/>
          <w:szCs w:val="24"/>
        </w:rPr>
        <w:t>Определить, нарушена ли безопасность работ на данном уступе.</w:t>
      </w:r>
      <w:r>
        <w:rPr>
          <w:rFonts w:asciiTheme="majorBidi" w:hAnsiTheme="majorBidi" w:cstheme="majorBidi"/>
          <w:sz w:val="24"/>
          <w:szCs w:val="24"/>
        </w:rPr>
        <w:t xml:space="preserve"> </w:t>
      </w:r>
      <w:r w:rsidRPr="007A2EE6">
        <w:rPr>
          <w:rFonts w:asciiTheme="majorBidi" w:hAnsiTheme="majorBidi" w:cstheme="majorBidi"/>
          <w:sz w:val="24"/>
          <w:szCs w:val="24"/>
        </w:rPr>
        <w:t>Рассчитать ширину призмы обрушения (</w:t>
      </w:r>
      <w:proofErr w:type="spellStart"/>
      <w:r w:rsidRPr="007A2EE6">
        <w:rPr>
          <w:rFonts w:asciiTheme="majorBidi" w:hAnsiTheme="majorBidi" w:cstheme="majorBidi"/>
          <w:sz w:val="24"/>
          <w:szCs w:val="24"/>
        </w:rPr>
        <w:t>Ш</w:t>
      </w:r>
      <w:r w:rsidRPr="007A2EE6">
        <w:rPr>
          <w:rFonts w:asciiTheme="majorBidi" w:hAnsiTheme="majorBidi" w:cstheme="majorBidi"/>
          <w:sz w:val="24"/>
          <w:szCs w:val="24"/>
          <w:vertAlign w:val="subscript"/>
        </w:rPr>
        <w:t>пр</w:t>
      </w:r>
      <w:proofErr w:type="spellEnd"/>
      <w:r w:rsidRPr="007A2EE6">
        <w:rPr>
          <w:rFonts w:asciiTheme="majorBidi" w:hAnsiTheme="majorBidi" w:cstheme="majorBidi"/>
          <w:sz w:val="24"/>
          <w:szCs w:val="24"/>
        </w:rPr>
        <w:t>) для данного уступа</w:t>
      </w:r>
      <w:r>
        <w:rPr>
          <w:rFonts w:asciiTheme="majorBidi" w:hAnsiTheme="majorBidi" w:cstheme="majorBidi"/>
          <w:sz w:val="24"/>
          <w:szCs w:val="24"/>
        </w:rPr>
        <w:t>.</w:t>
      </w:r>
    </w:p>
    <w:p w14:paraId="59006936" w14:textId="58DC73AE" w:rsidR="007A2EE6" w:rsidRPr="007A2EE6" w:rsidRDefault="007A2EE6" w:rsidP="007A2EE6">
      <w:pPr>
        <w:spacing w:after="0" w:line="276" w:lineRule="auto"/>
        <w:ind w:firstLine="709"/>
        <w:jc w:val="both"/>
        <w:rPr>
          <w:rFonts w:asciiTheme="majorBidi" w:hAnsiTheme="majorBidi" w:cstheme="majorBidi"/>
          <w:sz w:val="24"/>
          <w:szCs w:val="24"/>
        </w:rPr>
      </w:pPr>
      <w:r w:rsidRPr="007A2EE6">
        <w:rPr>
          <w:rFonts w:asciiTheme="majorBidi" w:hAnsiTheme="majorBidi" w:cstheme="majorBidi"/>
          <w:sz w:val="24"/>
          <w:szCs w:val="24"/>
        </w:rPr>
        <w:t>Сформулировать, какой документ маркшейдер обязан оформить и какие действия предпринять.</w:t>
      </w:r>
    </w:p>
    <w:sectPr w:rsidR="007A2EE6" w:rsidRPr="007A2EE6" w:rsidSect="005F452D">
      <w:pgSz w:w="11906" w:h="16838"/>
      <w:pgMar w:top="709"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F02"/>
    <w:multiLevelType w:val="multilevel"/>
    <w:tmpl w:val="0FBE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3616FF"/>
    <w:multiLevelType w:val="hybridMultilevel"/>
    <w:tmpl w:val="F9FCE8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02D2949"/>
    <w:multiLevelType w:val="hybridMultilevel"/>
    <w:tmpl w:val="07BE4EAC"/>
    <w:lvl w:ilvl="0" w:tplc="2B46938E">
      <w:start w:val="1"/>
      <w:numFmt w:val="decimal"/>
      <w:lvlText w:val="%1"/>
      <w:lvlJc w:val="left"/>
      <w:pPr>
        <w:ind w:left="1429" w:hanging="360"/>
      </w:pPr>
      <w:rPr>
        <w:rFonts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F2605A1"/>
    <w:multiLevelType w:val="multilevel"/>
    <w:tmpl w:val="2A9E66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FAC2743"/>
    <w:multiLevelType w:val="hybridMultilevel"/>
    <w:tmpl w:val="BB9A7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457DB8"/>
    <w:multiLevelType w:val="hybridMultilevel"/>
    <w:tmpl w:val="AA146D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5452C4C"/>
    <w:multiLevelType w:val="hybridMultilevel"/>
    <w:tmpl w:val="2F3A2F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533299387">
    <w:abstractNumId w:val="2"/>
  </w:num>
  <w:num w:numId="2" w16cid:durableId="1363094727">
    <w:abstractNumId w:val="3"/>
  </w:num>
  <w:num w:numId="3" w16cid:durableId="179781232">
    <w:abstractNumId w:val="0"/>
  </w:num>
  <w:num w:numId="4" w16cid:durableId="1639145903">
    <w:abstractNumId w:val="4"/>
  </w:num>
  <w:num w:numId="5" w16cid:durableId="1935240602">
    <w:abstractNumId w:val="6"/>
  </w:num>
  <w:num w:numId="6" w16cid:durableId="753668441">
    <w:abstractNumId w:val="5"/>
  </w:num>
  <w:num w:numId="7" w16cid:durableId="443577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F1"/>
    <w:rsid w:val="005F452D"/>
    <w:rsid w:val="00733226"/>
    <w:rsid w:val="007A2EE6"/>
    <w:rsid w:val="007E6EE3"/>
    <w:rsid w:val="008B4DF6"/>
    <w:rsid w:val="009C2F38"/>
    <w:rsid w:val="00A87213"/>
    <w:rsid w:val="00AE74F1"/>
    <w:rsid w:val="00B07EF1"/>
    <w:rsid w:val="00D46712"/>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E80E1"/>
  <w15:chartTrackingRefBased/>
  <w15:docId w15:val="{E15918DA-CED3-4330-AA96-2661B495B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C2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C2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E74F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E74F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E74F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E74F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E74F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E74F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E74F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 Заголовок"/>
    <w:basedOn w:val="1"/>
    <w:link w:val="12"/>
    <w:autoRedefine/>
    <w:qFormat/>
    <w:rsid w:val="00D46712"/>
    <w:pPr>
      <w:spacing w:before="0" w:after="0" w:line="360" w:lineRule="auto"/>
      <w:ind w:firstLine="709"/>
      <w:jc w:val="both"/>
    </w:pPr>
    <w:rPr>
      <w:rFonts w:ascii="Times New Roman" w:hAnsi="Times New Roman" w:cs="Times New Roman"/>
      <w:sz w:val="28"/>
      <w:szCs w:val="28"/>
    </w:rPr>
  </w:style>
  <w:style w:type="character" w:customStyle="1" w:styleId="12">
    <w:name w:val="1 Заголовок Знак"/>
    <w:basedOn w:val="10"/>
    <w:link w:val="11"/>
    <w:rsid w:val="00D46712"/>
    <w:rPr>
      <w:rFonts w:ascii="Times New Roman" w:eastAsiaTheme="majorEastAsia" w:hAnsi="Times New Roman" w:cs="Times New Roman"/>
      <w:color w:val="0F4761" w:themeColor="accent1" w:themeShade="BF"/>
      <w:sz w:val="28"/>
      <w:szCs w:val="28"/>
    </w:rPr>
  </w:style>
  <w:style w:type="character" w:customStyle="1" w:styleId="10">
    <w:name w:val="Заголовок 1 Знак"/>
    <w:basedOn w:val="a0"/>
    <w:link w:val="1"/>
    <w:uiPriority w:val="9"/>
    <w:rsid w:val="009C2F38"/>
    <w:rPr>
      <w:rFonts w:asciiTheme="majorHAnsi" w:eastAsiaTheme="majorEastAsia" w:hAnsiTheme="majorHAnsi" w:cstheme="majorBidi"/>
      <w:color w:val="0F4761" w:themeColor="accent1" w:themeShade="BF"/>
      <w:sz w:val="40"/>
      <w:szCs w:val="40"/>
    </w:rPr>
  </w:style>
  <w:style w:type="paragraph" w:customStyle="1" w:styleId="110">
    <w:name w:val="1.1 Подзаголовок"/>
    <w:basedOn w:val="a"/>
    <w:link w:val="111"/>
    <w:qFormat/>
    <w:rsid w:val="009C2F38"/>
    <w:pPr>
      <w:spacing w:after="0" w:line="360" w:lineRule="auto"/>
      <w:ind w:firstLine="709"/>
      <w:jc w:val="both"/>
    </w:pPr>
    <w:rPr>
      <w:rFonts w:ascii="Times New Roman" w:hAnsi="Times New Roman"/>
      <w:bCs/>
      <w:sz w:val="28"/>
      <w:szCs w:val="28"/>
    </w:rPr>
  </w:style>
  <w:style w:type="character" w:customStyle="1" w:styleId="111">
    <w:name w:val="1.1 Подзаголовок Знак"/>
    <w:basedOn w:val="a0"/>
    <w:link w:val="110"/>
    <w:rsid w:val="009C2F38"/>
    <w:rPr>
      <w:rFonts w:ascii="Times New Roman" w:hAnsi="Times New Roman"/>
      <w:bCs/>
      <w:sz w:val="28"/>
      <w:szCs w:val="28"/>
    </w:rPr>
  </w:style>
  <w:style w:type="paragraph" w:customStyle="1" w:styleId="112">
    <w:name w:val="1.1 Заголовок"/>
    <w:basedOn w:val="2"/>
    <w:link w:val="113"/>
    <w:qFormat/>
    <w:rsid w:val="009C2F38"/>
    <w:pPr>
      <w:spacing w:before="0" w:after="0" w:line="360" w:lineRule="auto"/>
      <w:ind w:firstLine="709"/>
      <w:jc w:val="both"/>
    </w:pPr>
    <w:rPr>
      <w:rFonts w:ascii="Times New Roman" w:hAnsi="Times New Roman" w:cs="Times New Roman"/>
      <w:sz w:val="28"/>
      <w:szCs w:val="28"/>
    </w:rPr>
  </w:style>
  <w:style w:type="character" w:customStyle="1" w:styleId="113">
    <w:name w:val="1.1 Заголовок Знак"/>
    <w:basedOn w:val="20"/>
    <w:link w:val="112"/>
    <w:rsid w:val="009C2F38"/>
    <w:rPr>
      <w:rFonts w:ascii="Times New Roman" w:eastAsiaTheme="majorEastAsia" w:hAnsi="Times New Roman" w:cs="Times New Roman"/>
      <w:color w:val="0F4761" w:themeColor="accent1" w:themeShade="BF"/>
      <w:sz w:val="28"/>
      <w:szCs w:val="28"/>
    </w:rPr>
  </w:style>
  <w:style w:type="character" w:customStyle="1" w:styleId="20">
    <w:name w:val="Заголовок 2 Знак"/>
    <w:basedOn w:val="a0"/>
    <w:link w:val="2"/>
    <w:uiPriority w:val="9"/>
    <w:semiHidden/>
    <w:rsid w:val="009C2F38"/>
    <w:rPr>
      <w:rFonts w:asciiTheme="majorHAnsi" w:eastAsiaTheme="majorEastAsia" w:hAnsiTheme="majorHAnsi" w:cstheme="majorBidi"/>
      <w:color w:val="0F4761" w:themeColor="accent1" w:themeShade="BF"/>
      <w:sz w:val="32"/>
      <w:szCs w:val="32"/>
    </w:rPr>
  </w:style>
  <w:style w:type="paragraph" w:customStyle="1" w:styleId="a3">
    <w:name w:val="Исп"/>
    <w:basedOn w:val="a"/>
    <w:link w:val="a4"/>
    <w:qFormat/>
    <w:rsid w:val="009C2F38"/>
    <w:pPr>
      <w:autoSpaceDE w:val="0"/>
      <w:autoSpaceDN w:val="0"/>
      <w:adjustRightInd w:val="0"/>
      <w:spacing w:after="0" w:line="360" w:lineRule="auto"/>
      <w:ind w:firstLine="709"/>
      <w:jc w:val="both"/>
    </w:pPr>
    <w:rPr>
      <w:rFonts w:ascii="Times New Roman" w:hAnsi="Times New Roman" w:cs="Times New Roman"/>
      <w:sz w:val="28"/>
      <w:szCs w:val="28"/>
    </w:rPr>
  </w:style>
  <w:style w:type="character" w:customStyle="1" w:styleId="a4">
    <w:name w:val="Исп Знак"/>
    <w:basedOn w:val="a0"/>
    <w:link w:val="a3"/>
    <w:rsid w:val="009C2F38"/>
    <w:rPr>
      <w:rFonts w:ascii="Times New Roman" w:hAnsi="Times New Roman" w:cs="Times New Roman"/>
      <w:sz w:val="28"/>
      <w:szCs w:val="28"/>
    </w:rPr>
  </w:style>
  <w:style w:type="character" w:customStyle="1" w:styleId="30">
    <w:name w:val="Заголовок 3 Знак"/>
    <w:basedOn w:val="a0"/>
    <w:link w:val="3"/>
    <w:uiPriority w:val="9"/>
    <w:semiHidden/>
    <w:rsid w:val="00AE74F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E74F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E74F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E74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74F1"/>
    <w:rPr>
      <w:rFonts w:eastAsiaTheme="majorEastAsia" w:cstheme="majorBidi"/>
      <w:color w:val="595959" w:themeColor="text1" w:themeTint="A6"/>
    </w:rPr>
  </w:style>
  <w:style w:type="character" w:customStyle="1" w:styleId="80">
    <w:name w:val="Заголовок 8 Знак"/>
    <w:basedOn w:val="a0"/>
    <w:link w:val="8"/>
    <w:uiPriority w:val="9"/>
    <w:semiHidden/>
    <w:rsid w:val="00AE74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74F1"/>
    <w:rPr>
      <w:rFonts w:eastAsiaTheme="majorEastAsia" w:cstheme="majorBidi"/>
      <w:color w:val="272727" w:themeColor="text1" w:themeTint="D8"/>
    </w:rPr>
  </w:style>
  <w:style w:type="paragraph" w:styleId="a5">
    <w:name w:val="Title"/>
    <w:basedOn w:val="a"/>
    <w:next w:val="a"/>
    <w:link w:val="a6"/>
    <w:uiPriority w:val="10"/>
    <w:qFormat/>
    <w:rsid w:val="00AE7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AE74F1"/>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AE74F1"/>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uiPriority w:val="11"/>
    <w:rsid w:val="00AE74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E74F1"/>
    <w:pPr>
      <w:spacing w:before="160"/>
      <w:jc w:val="center"/>
    </w:pPr>
    <w:rPr>
      <w:i/>
      <w:iCs/>
      <w:color w:val="404040" w:themeColor="text1" w:themeTint="BF"/>
    </w:rPr>
  </w:style>
  <w:style w:type="character" w:customStyle="1" w:styleId="22">
    <w:name w:val="Цитата 2 Знак"/>
    <w:basedOn w:val="a0"/>
    <w:link w:val="21"/>
    <w:uiPriority w:val="29"/>
    <w:rsid w:val="00AE74F1"/>
    <w:rPr>
      <w:i/>
      <w:iCs/>
      <w:color w:val="404040" w:themeColor="text1" w:themeTint="BF"/>
    </w:rPr>
  </w:style>
  <w:style w:type="paragraph" w:styleId="a9">
    <w:name w:val="List Paragraph"/>
    <w:basedOn w:val="a"/>
    <w:uiPriority w:val="34"/>
    <w:qFormat/>
    <w:rsid w:val="00AE74F1"/>
    <w:pPr>
      <w:ind w:left="720"/>
      <w:contextualSpacing/>
    </w:pPr>
  </w:style>
  <w:style w:type="character" w:styleId="aa">
    <w:name w:val="Intense Emphasis"/>
    <w:basedOn w:val="a0"/>
    <w:uiPriority w:val="21"/>
    <w:qFormat/>
    <w:rsid w:val="00AE74F1"/>
    <w:rPr>
      <w:i/>
      <w:iCs/>
      <w:color w:val="0F4761" w:themeColor="accent1" w:themeShade="BF"/>
    </w:rPr>
  </w:style>
  <w:style w:type="paragraph" w:styleId="ab">
    <w:name w:val="Intense Quote"/>
    <w:basedOn w:val="a"/>
    <w:next w:val="a"/>
    <w:link w:val="ac"/>
    <w:uiPriority w:val="30"/>
    <w:qFormat/>
    <w:rsid w:val="00AE7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0"/>
    <w:link w:val="ab"/>
    <w:uiPriority w:val="30"/>
    <w:rsid w:val="00AE74F1"/>
    <w:rPr>
      <w:i/>
      <w:iCs/>
      <w:color w:val="0F4761" w:themeColor="accent1" w:themeShade="BF"/>
    </w:rPr>
  </w:style>
  <w:style w:type="character" w:styleId="ad">
    <w:name w:val="Intense Reference"/>
    <w:basedOn w:val="a0"/>
    <w:uiPriority w:val="32"/>
    <w:qFormat/>
    <w:rsid w:val="00AE74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861</Words>
  <Characters>4912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2026-09-16T05:31:00Z</dcterms:created>
  <dcterms:modified xsi:type="dcterms:W3CDTF">2026-09-16T05:54:00Z</dcterms:modified>
</cp:coreProperties>
</file>