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1163A" w:rsidRPr="00D3435A" w:rsidRDefault="00F1163A" w:rsidP="00F1163A">
      <w:pPr>
        <w:rPr>
          <w:rFonts w:ascii="Times New Roman" w:hAnsi="Times New Roman" w:cs="Times New Roman"/>
          <w:sz w:val="28"/>
          <w:szCs w:val="28"/>
        </w:rPr>
      </w:pPr>
    </w:p>
    <w:p w:rsidR="00871DA7" w:rsidRPr="00CA104C" w:rsidRDefault="00F1163A" w:rsidP="00871DA7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2E54FE" w:rsidRPr="002E54FE">
        <w:rPr>
          <w:rFonts w:ascii="Times New Roman" w:eastAsia="Calibri" w:hAnsi="Times New Roman" w:cs="Times New Roman"/>
          <w:sz w:val="28"/>
          <w:szCs w:val="28"/>
        </w:rPr>
        <w:t>Потери и КПД двигателей постоянного тока. Универсальные коллекторные двигатели.</w:t>
      </w:r>
    </w:p>
    <w:p w:rsidR="00A239CB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04C">
        <w:rPr>
          <w:rFonts w:ascii="Times New Roman" w:hAnsi="Times New Roman" w:cs="Times New Roman"/>
          <w:sz w:val="28"/>
          <w:szCs w:val="28"/>
        </w:rPr>
        <w:t>Изучение новой темы и конспектирование в тетрадь.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КПД машины является отношением полезной выходной мощности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подводимой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определения КПД, как правило, применяются косвенные методы, при которых вычисляются потери мощности при нагрузке.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просто определяются электрическая мощность на выходе генератора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мощность, подводимая к двигателю,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выражения КПД для генераторов и двигателей обычно отличаются друг от друга: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генераторов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9B71D8" wp14:editId="676B714A">
            <wp:extent cx="2143125" cy="447675"/>
            <wp:effectExtent l="0" t="0" r="9525" b="9525"/>
            <wp:docPr id="6" name="Рисунок 6" descr="https://helpiks.org/helpiksorg/baza7/253330460776.files/image16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7/253330460776.files/image16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; (27)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двигателей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3C97A1" wp14:editId="5B91BFBF">
            <wp:extent cx="2143125" cy="466725"/>
            <wp:effectExtent l="0" t="0" r="9525" b="9525"/>
            <wp:docPr id="7" name="Рисунок 7" descr="https://helpiks.org/helpiksorg/baza7/253330460776.files/image16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iks.org/helpiksorg/baza7/253330460776.files/image16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. (28)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выходной мощности и порядка учета потерь двигателя с параллельным возбуждением показаны на диаграмме (рис. 17).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Потери в цепи якоря двигателя параллельного возбуждения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 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потерь в сопротивлениях обмотки якоря r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обмотки добавочных полюсов r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д.п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компенсационной r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наличии), а также потерь в контакте щетки – коллектор. Сопротивление цепи берется при температуре 75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С, падение напряжения в контакте щетки – коллектор ΔU принимается неизменным (1,5…2 В). Исходя из этого,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7427E2" wp14:editId="712AF692">
            <wp:extent cx="1800225" cy="238125"/>
            <wp:effectExtent l="0" t="0" r="9525" b="9525"/>
            <wp:docPr id="8" name="Рисунок 8" descr="https://helpiks.org/helpiksorg/baza7/253330460776.files/image1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iks.org/helpiksorg/baza7/253330460776.files/image16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. (29)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D8AA3F" wp14:editId="42082407">
            <wp:extent cx="1171575" cy="1533525"/>
            <wp:effectExtent l="0" t="0" r="9525" b="9525"/>
            <wp:docPr id="9" name="Рисунок 9" descr="https://helpiks.org/helpiksorg/baza7/253330460776.files/image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iks.org/helpiksorg/baza7/253330460776.files/image16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17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Потери в цепи якоря двигателя последовательного возбуждения 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 из потерь в сопротивлениях обмотки якоря r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добавочных полюсов r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д.п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последовательной обмотки r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п.о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потерь в контакте щетки – коллектор ΔU: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5745F7" wp14:editId="3523F3AA">
            <wp:extent cx="1866900" cy="238125"/>
            <wp:effectExtent l="0" t="0" r="0" b="9525"/>
            <wp:docPr id="10" name="Рисунок 10" descr="https://helpiks.org/helpiksorg/baza7/253330460776.files/image1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lpiks.org/helpiksorg/baza7/253330460776.files/image163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. (30)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Потери в сопротивлении цепи возбуждения двигателя параллельного возбуждения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ABBC27" wp14:editId="425E087F">
            <wp:extent cx="638175" cy="228600"/>
            <wp:effectExtent l="0" t="0" r="9525" b="0"/>
            <wp:docPr id="11" name="Рисунок 11" descr="https://helpiks.org/helpiksorg/baza7/253330460776.files/image1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lpiks.org/helpiksorg/baza7/253330460776.files/image163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. (31)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сердечника якоря, обусловливает </w:t>
      </w: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потери мощности в стали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перемагничивании: на гистерезис (потери пропорциональны частоте перемагничивания и наибольшей магнитной индукции в степени, близкой ко второй); на вихревые токи (потери пропорциональны частоте перемагничивания и магнитной индукции в квадрате). Двигатели параллельного возбуждения работают в большинстве случаев при малоизменяющихся скоростях вращения и магнитных потоках, поэтому эти потери можно считать неизменными. У двигателей с последовательным возбуждением произведение скорости вращения на магнитный поток остается примерно неизменным, что определяет некоторое уменьшение потерь при увеличении нагрузки. Вихревые токи и гистерезис оказывают тормозящее действие на якорь.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Механические потери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мх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обусловлены трением вала якоря в подшипниках, трением щеток по коллектору при вращении, трением якоря в воздухе и вентиляционным действием при вращении якоря и вентилятора двигателя. Эти потери при малоизменяющейся скорости вращения остаются неизменными.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Добавочные потери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доб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принимаются равными 1% от мощности двигателя, в них учитываются различные трудноопределимые потери: 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потери в полюсных наконечниках, обусловленные пульсациями магнитного поля, и пр.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2E54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потери холостого хода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х.х 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потери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мх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доб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80FA85" wp14:editId="0817A194">
            <wp:extent cx="1333500" cy="228600"/>
            <wp:effectExtent l="0" t="0" r="0" b="0"/>
            <wp:docPr id="12" name="Рисунок 12" descr="https://helpiks.org/helpiksorg/baza7/253330460776.files/image1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elpiks.org/helpiksorg/baza7/253330460776.files/image163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. (32)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вычитания из значения подводимой мощности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потерь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получим </w:t>
      </w: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электромагнитную мощность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эм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передаваемую якорю, равную произведению электромагнитного момента М</w:t>
      </w:r>
      <w:r w:rsidRPr="002E54F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эм</w:t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частоту вращения ω: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338B4D" wp14:editId="7C73EA9A">
            <wp:extent cx="1676400" cy="228600"/>
            <wp:effectExtent l="0" t="0" r="0" b="0"/>
            <wp:docPr id="13" name="Рисунок 13" descr="https://helpiks.org/helpiksorg/baza7/253330460776.files/image16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elpiks.org/helpiksorg/baza7/253330460776.files/image163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. (33)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Мощность на валу двигателя</w:t>
      </w:r>
    </w:p>
    <w:p w:rsidR="002E54FE" w:rsidRPr="002E54FE" w:rsidRDefault="002E54FE" w:rsidP="002E54FE">
      <w:pPr>
        <w:spacing w:before="150" w:after="150" w:line="360" w:lineRule="atLeast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4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B3EA0" wp14:editId="08CE387A">
            <wp:extent cx="2886075" cy="257175"/>
            <wp:effectExtent l="0" t="0" r="9525" b="9525"/>
            <wp:docPr id="14" name="Рисунок 14" descr="https://helpiks.org/helpiksorg/baza7/253330460776.files/image1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elpiks.org/helpiksorg/baza7/253330460776.files/image164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4FE">
        <w:rPr>
          <w:rFonts w:ascii="Times New Roman" w:eastAsia="Times New Roman" w:hAnsi="Times New Roman" w:cs="Times New Roman"/>
          <w:sz w:val="28"/>
          <w:szCs w:val="28"/>
          <w:lang w:eastAsia="ru-RU"/>
        </w:rPr>
        <w:t> . (34)</w:t>
      </w:r>
    </w:p>
    <w:p w:rsidR="002E54FE" w:rsidRPr="002E54FE" w:rsidRDefault="00D3435A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br/>
      </w:r>
      <w:r w:rsidR="002E54FE" w:rsidRPr="002E54FE">
        <w:rPr>
          <w:rFonts w:ascii="Times New Roman" w:hAnsi="Times New Roman" w:cs="Times New Roman"/>
          <w:b/>
          <w:sz w:val="28"/>
          <w:szCs w:val="28"/>
        </w:rPr>
        <w:t>Универсальные коллекторные двигатели</w:t>
      </w:r>
      <w:r w:rsidR="002E54FE" w:rsidRPr="002E54FE">
        <w:rPr>
          <w:rFonts w:ascii="Times New Roman" w:hAnsi="Times New Roman" w:cs="Times New Roman"/>
          <w:sz w:val="28"/>
          <w:szCs w:val="28"/>
        </w:rPr>
        <w:t xml:space="preserve"> - это электродвигатели малой мощности последовательного возбуждения с секционированной обмоткой возбуждения, благодаря чему они могут работать как на постоянном, так и на переменном стандартных напряжениях примерно с одинаковыми свойствами и характеристиками. Такие электродвигатели используют для привода маломощных быстроходных устройств и многих бытовых приборов. Они допускают простое, широкое и плавное регулирование скорости.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По своему устройству эти двигатели отличаются от двигателей постоянного тока общего применения конструкцией статора, магнитную систему которого собирают из топких изолированных друг от друга листов электротехнической стали с выступающими полюсами, на которых размещают по две секции обмотки возбуждения. Эти секции соединяют последовательно с якорем и располагают по обе стороны от его выводов, что снижает радиопомехи от ценообразования на коллекторе под щетками, которое при питании двигателя от сети переменного напряжения особенно усиливается из-за существенного ухудшения условий коммутации. 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В зависимости от конструкции двигателя обмотка возбуждения может быть соединена с якорем внутри машины или может иметь самостоятельные наружные зажимы, что удобнее для изменения направления вращения якоря путем перемены мест проводов, подходящих к его зажимам или к зажимам обмотки возбуждения. Якорь универсальных двигателей устроен так же, как и якорь машин постоянного тока, а обмотка его присоединена к коллекторным пластинам, к которым прижаты щетки.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lastRenderedPageBreak/>
        <w:t>Пуск этих двигателей выполняют непосредственным включением в сеть постоянного или переменного напряжения, которое соответствует номинальному напряжению, указанному в ее табличке.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Скорость якоря универсального коллекторного двигателя последовательного возбуждения прямо пропорциональна напряжению на его зажимах и обратно пропорциональна амплитуде магнитного потока, зависящей от нагрузки на валу электродвигателя.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Механические характеристики у таких электродвигателей отличаются в зависимости от того на каком напряжении (переменном или постоянном) работает электродвигатель, так как при питании от сети постоянного напряжения присутствует только падение напряжения, созданное сопротивлениями обмоток возбуждения и якоря постоянному току, в то время как при присоединении к сети переменного напряжения возникает еще значительное индуктивное падение напряжения на обмотках возбуждения и якоря. Кроме этого, при переменном токе при малой скорости якоря имеет место значительный сдвиг фаз между напряжением и током, что резко снижает момент на валу двигателя.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Для получения примерно одинаковых механических характеристик на переменном и постоянном токе включают секционированную обмотку возбуждения двигателя на постоянный ток полностью, а при включении на </w:t>
      </w:r>
      <w:hyperlink r:id="rId18" w:history="1">
        <w:r w:rsidRPr="002E54F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переменный ток</w:t>
        </w:r>
      </w:hyperlink>
      <w:r w:rsidRPr="002E54FE">
        <w:rPr>
          <w:rFonts w:ascii="Times New Roman" w:hAnsi="Times New Roman" w:cs="Times New Roman"/>
          <w:sz w:val="28"/>
          <w:szCs w:val="28"/>
        </w:rPr>
        <w:t> - частично, для чего двигатель присоединяют к соответствующей сети зажимами с обозначениями "+" и " - " или зажимами с обозначениями "~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При номинальных режимах, отвечающих питанию от сети постоянного и переменного напряжений, номинальная скорость якоря одинакова. Однако при перегрузке двигателя, присоединенного к сети переменного напряжения, скорость якоря уменьшается сильнее, а при разгрузке возрастает быстрее, чем при работе его от сети постоянного напряжения.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При холостом ходе скорость якоря может превысить номинальную в 2,5 - 4 раза и выше, а это не допустимо из-за значительных центробежных сил, которые могут разрушить якорь. По этой причине режим холостого хода допустим только для двигателей малой номинальной мощности с относительно большими механическими потерями, ограничивающими скорость якоря. Двигатели с незначительными механическими потерями всегда должны нести нагрузку не менее 25% номинальной.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lastRenderedPageBreak/>
        <w:t>Регулирование скорости якоря осуществляют изменением напряжения на зажимах машины, а также шунтированием обмотки возбуждения или обмотки якоря резистором. Из этих способов полюсное регулирование, осуществляемое параллельным включением обмотки возбуждения регулируемого резистора, является наиболее экономичным.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Основным преимуществом универсальных коллекторных двигателей по сравнению с асинхронными и синхронными двигателями является то, что они развивают значительный начальный пусковой момент благодаря последовательной обмотке возбуждения и позволяют без применения повышающего редуктора получить скорость якоря значительно выше синхронной.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Быстроходность универсальных коллекторных двигателей ограничивает их размеры и массу.</w:t>
      </w:r>
    </w:p>
    <w:p w:rsidR="002E54FE" w:rsidRPr="002E54FE" w:rsidRDefault="002E54FE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E54FE">
        <w:rPr>
          <w:rFonts w:ascii="Times New Roman" w:hAnsi="Times New Roman" w:cs="Times New Roman"/>
          <w:sz w:val="28"/>
          <w:szCs w:val="28"/>
        </w:rPr>
        <w:t>Номинальный к. п. д. этих машин зависит от их номинальной мощности, быстроходности и рода тока. Так, у двигателей номинальной мощностью от 5 до 100 Вт он составляет от 0,25 до 0,55, а в машинах номинальной мощностью до 600 Вт его значение доходит до 0,70 и выше, причем работа двигателей на переменном токе всегда сопровождается пониженным к. п. д., что вызвано повышенными магнитными и электрическими потерями. Номинальный коэффициент мощности этих двигателей составляет 0,70 - 0,90.</w:t>
      </w:r>
    </w:p>
    <w:p w:rsidR="0076145D" w:rsidRPr="002E54FE" w:rsidRDefault="0076145D" w:rsidP="002E54F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91F" w:rsidRPr="002E54FE" w:rsidRDefault="0028391F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28391F" w:rsidRPr="002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CA" w:rsidRDefault="006460CA" w:rsidP="00F1163A">
      <w:pPr>
        <w:spacing w:after="0" w:line="240" w:lineRule="auto"/>
      </w:pPr>
      <w:r>
        <w:separator/>
      </w:r>
    </w:p>
  </w:endnote>
  <w:endnote w:type="continuationSeparator" w:id="0">
    <w:p w:rsidR="006460CA" w:rsidRDefault="006460CA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CA" w:rsidRDefault="006460CA" w:rsidP="00F1163A">
      <w:pPr>
        <w:spacing w:after="0" w:line="240" w:lineRule="auto"/>
      </w:pPr>
      <w:r>
        <w:separator/>
      </w:r>
    </w:p>
  </w:footnote>
  <w:footnote w:type="continuationSeparator" w:id="0">
    <w:p w:rsidR="006460CA" w:rsidRDefault="006460CA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910"/>
    <w:multiLevelType w:val="multilevel"/>
    <w:tmpl w:val="5212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681B3E"/>
    <w:multiLevelType w:val="multilevel"/>
    <w:tmpl w:val="923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919B6"/>
    <w:multiLevelType w:val="multilevel"/>
    <w:tmpl w:val="30D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315BD"/>
    <w:multiLevelType w:val="multilevel"/>
    <w:tmpl w:val="64E0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81090"/>
    <w:multiLevelType w:val="multilevel"/>
    <w:tmpl w:val="27D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5002B"/>
    <w:rsid w:val="002624BE"/>
    <w:rsid w:val="0028391F"/>
    <w:rsid w:val="002E54FE"/>
    <w:rsid w:val="00330977"/>
    <w:rsid w:val="0045751C"/>
    <w:rsid w:val="006460CA"/>
    <w:rsid w:val="00755DC4"/>
    <w:rsid w:val="0076145D"/>
    <w:rsid w:val="00871DA7"/>
    <w:rsid w:val="00A239CB"/>
    <w:rsid w:val="00B820B9"/>
    <w:rsid w:val="00B9412F"/>
    <w:rsid w:val="00CA104C"/>
    <w:rsid w:val="00D3435A"/>
    <w:rsid w:val="00EF44E7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electricalschool.info/main/osnovy/424-chto-takoe-peremennyjj-tok-i-chem-on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2020-11-18T03:46:00Z</dcterms:created>
  <dcterms:modified xsi:type="dcterms:W3CDTF">2020-11-18T03:46:00Z</dcterms:modified>
</cp:coreProperties>
</file>